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CB" w:rsidRDefault="00921ECB" w:rsidP="00921ECB">
      <w:pPr>
        <w:pStyle w:val="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РЕШЕНИЕ </w:t>
      </w:r>
    </w:p>
    <w:p w:rsidR="00921ECB" w:rsidRDefault="00921ECB" w:rsidP="00921ECB">
      <w:pPr>
        <w:pStyle w:val="1"/>
        <w:rPr>
          <w:b/>
          <w:sz w:val="28"/>
        </w:rPr>
      </w:pPr>
      <w:r>
        <w:rPr>
          <w:b/>
          <w:sz w:val="28"/>
        </w:rPr>
        <w:t>НЕСВИЖСКОГО РАЙОННОГО ИСПОЛНИТЕЛЬНОГО КОМИТЕТА</w:t>
      </w:r>
    </w:p>
    <w:p w:rsidR="00921ECB" w:rsidRDefault="00921ECB" w:rsidP="00921ECB">
      <w:pPr>
        <w:pStyle w:val="1"/>
        <w:rPr>
          <w:b/>
          <w:sz w:val="28"/>
        </w:rPr>
      </w:pPr>
      <w:r>
        <w:rPr>
          <w:b/>
          <w:sz w:val="28"/>
        </w:rPr>
        <w:t xml:space="preserve">13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8"/>
          </w:rPr>
          <w:t>2012 г</w:t>
        </w:r>
      </w:smartTag>
      <w:r>
        <w:rPr>
          <w:b/>
          <w:sz w:val="28"/>
        </w:rPr>
        <w:t xml:space="preserve">. № 1095 </w:t>
      </w:r>
    </w:p>
    <w:p w:rsidR="00921ECB" w:rsidRDefault="00921ECB" w:rsidP="00921ECB">
      <w:pPr>
        <w:rPr>
          <w:sz w:val="30"/>
        </w:rPr>
      </w:pPr>
    </w:p>
    <w:p w:rsidR="00921ECB" w:rsidRDefault="00921ECB" w:rsidP="00921ECB">
      <w:pPr>
        <w:rPr>
          <w:sz w:val="28"/>
          <w:szCs w:val="28"/>
        </w:rPr>
      </w:pPr>
    </w:p>
    <w:tbl>
      <w:tblPr>
        <w:tblStyle w:val="a9"/>
        <w:tblW w:w="98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8"/>
        <w:gridCol w:w="4140"/>
      </w:tblGrid>
      <w:tr w:rsidR="00921ECB" w:rsidTr="00921ECB">
        <w:tc>
          <w:tcPr>
            <w:tcW w:w="5708" w:type="dxa"/>
          </w:tcPr>
          <w:p w:rsidR="00921ECB" w:rsidRDefault="00921ECB" w:rsidP="00921ECB">
            <w:pPr>
              <w:pStyle w:val="title"/>
              <w:spacing w:before="280" w:after="280" w:line="240" w:lineRule="exact"/>
              <w:ind w:right="-388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Об утверждении  Положения  о  комиссии  по профилактике производственного травматизма и профессиональной заболеваемости при Несвижском районном исполнительном комитете</w:t>
            </w:r>
          </w:p>
          <w:p w:rsidR="00921ECB" w:rsidRPr="00921ECB" w:rsidRDefault="00921ECB" w:rsidP="00921ECB">
            <w:pPr>
              <w:pStyle w:val="title"/>
              <w:spacing w:before="280" w:after="280" w:line="240" w:lineRule="exact"/>
              <w:ind w:right="-388"/>
              <w:rPr>
                <w:b w:val="0"/>
                <w:bCs w:val="0"/>
                <w:sz w:val="30"/>
              </w:rPr>
            </w:pPr>
          </w:p>
        </w:tc>
        <w:tc>
          <w:tcPr>
            <w:tcW w:w="4140" w:type="dxa"/>
          </w:tcPr>
          <w:p w:rsidR="00921ECB" w:rsidRDefault="00921ECB" w:rsidP="00921ECB">
            <w:pPr>
              <w:pStyle w:val="1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Зарегистрировано </w:t>
            </w:r>
          </w:p>
          <w:p w:rsidR="00921ECB" w:rsidRDefault="00921ECB" w:rsidP="00921ECB">
            <w:pPr>
              <w:spacing w:line="240" w:lineRule="exact"/>
              <w:ind w:left="792" w:hanging="792"/>
              <w:rPr>
                <w:b/>
              </w:rPr>
            </w:pPr>
            <w:r>
              <w:rPr>
                <w:b/>
              </w:rPr>
              <w:t xml:space="preserve">             в Национальном реестре </w:t>
            </w:r>
          </w:p>
          <w:p w:rsidR="00921ECB" w:rsidRDefault="00921ECB" w:rsidP="00921ECB">
            <w:pPr>
              <w:spacing w:line="240" w:lineRule="exact"/>
              <w:ind w:left="792" w:hanging="792"/>
              <w:rPr>
                <w:b/>
                <w:szCs w:val="24"/>
              </w:rPr>
            </w:pPr>
            <w:r>
              <w:rPr>
                <w:b/>
              </w:rPr>
              <w:t xml:space="preserve">             правовых актов</w:t>
            </w:r>
          </w:p>
          <w:p w:rsidR="00921ECB" w:rsidRDefault="00921ECB" w:rsidP="00921ECB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Республики Беларусь </w:t>
            </w:r>
          </w:p>
          <w:p w:rsidR="00921ECB" w:rsidRDefault="00921ECB" w:rsidP="00921ECB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30 августа 2012 года,</w:t>
            </w:r>
          </w:p>
          <w:p w:rsidR="00921ECB" w:rsidRPr="00847333" w:rsidRDefault="00921ECB" w:rsidP="00921ECB">
            <w:r>
              <w:rPr>
                <w:b/>
              </w:rPr>
              <w:t xml:space="preserve">             регистрационный № 9/52440</w:t>
            </w:r>
            <w:r>
              <w:rPr>
                <w:b/>
                <w:color w:val="FF0000"/>
              </w:rPr>
              <w:t xml:space="preserve">   </w:t>
            </w:r>
          </w:p>
          <w:p w:rsidR="00921ECB" w:rsidRDefault="00921ECB">
            <w:pPr>
              <w:spacing w:line="240" w:lineRule="exact"/>
              <w:rPr>
                <w:b/>
                <w:color w:val="FF0000"/>
                <w:sz w:val="30"/>
                <w:szCs w:val="24"/>
              </w:rPr>
            </w:pPr>
          </w:p>
        </w:tc>
      </w:tr>
    </w:tbl>
    <w:p w:rsidR="00AA2D6D" w:rsidRDefault="00AA2D6D">
      <w:pPr>
        <w:pStyle w:val="preamble"/>
        <w:rPr>
          <w:sz w:val="30"/>
        </w:rPr>
      </w:pPr>
      <w:r>
        <w:rPr>
          <w:sz w:val="30"/>
        </w:rPr>
        <w:t xml:space="preserve">На основании пункта 3 решения Минского областного исполнительного комитета от 2 января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30"/>
          </w:rPr>
          <w:t>2012 г</w:t>
        </w:r>
      </w:smartTag>
      <w:r>
        <w:rPr>
          <w:sz w:val="30"/>
        </w:rPr>
        <w:t>. № 1 «Об утверждении Положения о комиссии по профилактике производственного травматизма и профессиональной заболеваемости при Минском областном исполнительном комитете» Несвижский районный исполнительный комитет РЕШИЛ: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1. Создать комиссию по профилактике производственного травматизма и профессиональной заболеваемости при Несвижском районном  исполнительном комитете.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2. Утвердить прилагаемое Положение о комиссии по профилактике производственного травматизма и профессиональной заболеваемости при Несвижском районном  исполнительном комитете.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 xml:space="preserve">3. Признать утратившим силу решение Несвижского районного исполнительного комитета от 12 декабря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30"/>
          </w:rPr>
          <w:t>2007 г</w:t>
        </w:r>
      </w:smartTag>
      <w:r>
        <w:rPr>
          <w:sz w:val="30"/>
        </w:rPr>
        <w:t xml:space="preserve">. № 1839 «Об утверждении Положения о Несвижской районной комиссии по охране труда»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</w:rPr>
          <w:t>2008 г</w:t>
        </w:r>
      </w:smartTag>
      <w:r>
        <w:rPr>
          <w:sz w:val="30"/>
        </w:rPr>
        <w:t>.,       № 151, 9/13135).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4. Настоящее решение вступает в силу после его официального опубликования.</w:t>
      </w:r>
    </w:p>
    <w:p w:rsidR="00AA2D6D" w:rsidRDefault="00AA2D6D">
      <w:pPr>
        <w:spacing w:line="280" w:lineRule="exact"/>
        <w:rPr>
          <w:sz w:val="30"/>
        </w:rPr>
      </w:pPr>
    </w:p>
    <w:p w:rsidR="00AA2D6D" w:rsidRDefault="00AA2D6D">
      <w:pPr>
        <w:tabs>
          <w:tab w:val="left" w:pos="6860"/>
        </w:tabs>
        <w:jc w:val="both"/>
        <w:rPr>
          <w:sz w:val="30"/>
          <w:szCs w:val="28"/>
        </w:rPr>
      </w:pPr>
    </w:p>
    <w:p w:rsidR="00AA2D6D" w:rsidRDefault="00AA2D6D">
      <w:pPr>
        <w:tabs>
          <w:tab w:val="left" w:pos="6860"/>
        </w:tabs>
        <w:jc w:val="both"/>
        <w:rPr>
          <w:sz w:val="30"/>
          <w:szCs w:val="28"/>
        </w:rPr>
      </w:pPr>
      <w:r>
        <w:rPr>
          <w:sz w:val="30"/>
          <w:szCs w:val="28"/>
        </w:rPr>
        <w:t>Председатель                                                                      И.И.Крупко</w:t>
      </w:r>
    </w:p>
    <w:p w:rsidR="00AA2D6D" w:rsidRDefault="00AA2D6D">
      <w:pPr>
        <w:tabs>
          <w:tab w:val="left" w:pos="6860"/>
        </w:tabs>
        <w:jc w:val="both"/>
        <w:rPr>
          <w:sz w:val="30"/>
          <w:szCs w:val="28"/>
        </w:rPr>
      </w:pPr>
    </w:p>
    <w:p w:rsidR="00AA2D6D" w:rsidRDefault="00AA2D6D">
      <w:pPr>
        <w:pStyle w:val="2"/>
        <w:spacing w:line="280" w:lineRule="exact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AA2D6D" w:rsidRPr="00847333" w:rsidRDefault="00AA2D6D">
      <w:pPr>
        <w:pStyle w:val="2"/>
        <w:tabs>
          <w:tab w:val="clear" w:pos="6860"/>
          <w:tab w:val="left" w:pos="7000"/>
        </w:tabs>
        <w:spacing w:line="280" w:lineRule="exact"/>
      </w:pPr>
      <w:r>
        <w:t>управляющего делами                                                       Л.В.Медведева</w:t>
      </w:r>
    </w:p>
    <w:p w:rsidR="00AA2D6D" w:rsidRPr="00847333" w:rsidRDefault="00AA2D6D"/>
    <w:p w:rsidR="00AA2D6D" w:rsidRPr="00847333" w:rsidRDefault="00AA2D6D"/>
    <w:p w:rsidR="00AA2D6D" w:rsidRPr="00847333" w:rsidRDefault="00AA2D6D"/>
    <w:p w:rsidR="00AA2D6D" w:rsidRPr="00847333" w:rsidRDefault="00AA2D6D"/>
    <w:p w:rsidR="00AA2D6D" w:rsidRPr="00847333" w:rsidRDefault="00AA2D6D"/>
    <w:tbl>
      <w:tblPr>
        <w:tblW w:w="503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0"/>
        <w:gridCol w:w="3413"/>
      </w:tblGrid>
      <w:tr w:rsidR="00AA2D6D">
        <w:trPr>
          <w:trHeight w:val="2156"/>
        </w:trPr>
        <w:tc>
          <w:tcPr>
            <w:tcW w:w="3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D6D" w:rsidRDefault="00C20863">
            <w:pPr>
              <w:pStyle w:val="newncpi"/>
              <w:rPr>
                <w:sz w:val="30"/>
              </w:rPr>
            </w:pPr>
            <w:r>
              <w:rPr>
                <w:b/>
              </w:rPr>
              <w:lastRenderedPageBreak/>
              <w:t xml:space="preserve">           </w:t>
            </w:r>
          </w:p>
        </w:tc>
        <w:tc>
          <w:tcPr>
            <w:tcW w:w="17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D6D" w:rsidRDefault="00AA2D6D">
            <w:pPr>
              <w:pStyle w:val="capu1"/>
              <w:rPr>
                <w:sz w:val="30"/>
              </w:rPr>
            </w:pPr>
            <w:r>
              <w:rPr>
                <w:sz w:val="30"/>
              </w:rPr>
              <w:t>УТВЕРЖДЕНО</w:t>
            </w:r>
          </w:p>
          <w:p w:rsidR="00AA2D6D" w:rsidRDefault="00AA2D6D">
            <w:pPr>
              <w:pStyle w:val="cap1"/>
              <w:spacing w:before="280" w:after="280" w:line="240" w:lineRule="exact"/>
              <w:rPr>
                <w:sz w:val="30"/>
              </w:rPr>
            </w:pPr>
            <w:r>
              <w:rPr>
                <w:sz w:val="30"/>
              </w:rPr>
              <w:t>Решение</w:t>
            </w:r>
            <w:r>
              <w:rPr>
                <w:sz w:val="30"/>
              </w:rPr>
              <w:br/>
              <w:t>Несвижского районного</w:t>
            </w:r>
            <w:r>
              <w:rPr>
                <w:sz w:val="30"/>
              </w:rPr>
              <w:br/>
              <w:t>исполнительного комитета                                               13.08.2012  № 1095</w:t>
            </w:r>
          </w:p>
        </w:tc>
      </w:tr>
    </w:tbl>
    <w:p w:rsidR="00AA2D6D" w:rsidRDefault="00AA2D6D">
      <w:pPr>
        <w:pStyle w:val="titleu"/>
        <w:spacing w:before="280" w:after="280" w:line="240" w:lineRule="exact"/>
        <w:rPr>
          <w:sz w:val="30"/>
        </w:rPr>
      </w:pPr>
      <w:r>
        <w:rPr>
          <w:sz w:val="30"/>
        </w:rPr>
        <w:t>ПОЛОЖЕНИЕ</w:t>
      </w:r>
      <w:r>
        <w:rPr>
          <w:sz w:val="30"/>
        </w:rPr>
        <w:br/>
        <w:t>о комиссии по профилактике производственного травматизма и профессиональной заболеваемости при Несвижском районном исполнительном комитете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1. Настоящее Положение определяет порядок работы комиссии по профилактике производственного травматизма и профессиональной заболеваемости при Несвижском районном исполнительном комитете (далее – комиссия).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2. Комиссия является постоянно действующим коллегиальным органом по выработке предложений и обеспечению взаимодействия структурных подразделений Несвижского районного исполнительного комитета (далее – райисполком), профессиональных союзов и их организационных структур (далее – профсоюзы) и иных организаций по профилактике производственного травматизма и профессиональной заболеваемости.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3. Комиссия в своей деятельности руководствуется Конституцией Республики Беларусь, законами Республики Беларусь, декретами, указами Президента Республики Беларусь, настоящим Положением и другими актами законодательства Республики Беларусь.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4. Основными задачами комиссии являются: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4.1. обеспечение взаимодействия структурных подразделений райисполкома, профсоюзов по профилактике производственного травматизма и профессиональной заболеваемости;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4.2. рассмотрение результатов анализа уровня производственного травматизма и профессиональной заболеваемости в Несвижском районе;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4.3. рассмотрение по поручению председателя райисполкома проектов государственных целевых программ по улучшению условий и охраны труда, иных государственных программ, содействующих снижению производственного травматизма и профессиональной заболеваемости, осуществление мониторинга за ее выполнением, а также подготовка соответствующих предложений;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4.4. координация работы по подготовке предложений: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о совершенствовании нормативной правовой базы по охране труда;</w:t>
      </w:r>
    </w:p>
    <w:p w:rsidR="00AA2D6D" w:rsidRDefault="00AA2D6D">
      <w:pPr>
        <w:pStyle w:val="newncpi"/>
        <w:rPr>
          <w:sz w:val="30"/>
        </w:rPr>
      </w:pPr>
    </w:p>
    <w:p w:rsidR="00AA2D6D" w:rsidRDefault="00AA2D6D">
      <w:pPr>
        <w:pStyle w:val="newncpi"/>
        <w:rPr>
          <w:sz w:val="30"/>
        </w:rPr>
      </w:pPr>
    </w:p>
    <w:p w:rsidR="00AA2D6D" w:rsidRPr="00847333" w:rsidRDefault="00AA2D6D">
      <w:pPr>
        <w:pStyle w:val="newncpi"/>
        <w:jc w:val="center"/>
        <w:rPr>
          <w:sz w:val="30"/>
        </w:rPr>
      </w:pPr>
      <w:r w:rsidRPr="00847333">
        <w:rPr>
          <w:sz w:val="30"/>
        </w:rPr>
        <w:lastRenderedPageBreak/>
        <w:t>2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о формировании мероприятий, направленных на профилактику производственного травматизма и профессиональной заболеваемости;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4.5. рассмотрение иных вопросов, направленных на профилактику производственного травматизма и профессиональной заболеваемости.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5. Комиссия для выполнения возложенных на нее задач: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5.1. заслушивает на своих заседаниях отчеты должностных лиц структурных подразделений райисполкома, профсоюзов и иных организаций по вопросам профилактики производственного травматизма и профессиональной заболеваемости;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5.2. запрашивает и получает в установленном порядке от структурных подразделений райисполкома, профсоюзов и иных организаций информацию, документы и материалы, необходимые для осуществления деятельности комиссии;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5.3. принимает в соответствии со своими полномочиями решения, подлежащие реализации контролирующими (надзорными) органами, представители которых входят в состав комиссии, профсоюзами, структурными подразделениями райисполкома и иными организациями;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5.4. рассматривает предложения руководителей структурных подразделений райисполкома, контролирующих (надзорных) органов, а также профсоюзов, представители которых входят в состав комиссии, об организации в установленном законодательными актами порядке совместных проверок организаций и принимает необходимые решения по этим вопросам;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5.5. способствует совершенствованию работы структурных подразделений райисполкома, а также профсоюзов, представители которых входят в состав комиссии, по обмену информацией о совершаемом (совершенном) нарушении законодательства об охране труда и фактах возникновения угрозы причинения либо причинения вреда жизни и здоровью граждан.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6. Комиссия имеет право: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6.1. приглашать на свои заседания руководителей структурных подразделений райисполкома, профсоюзов и иных организаций;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6.2. привлекать к участию в подготовке заседаний комиссии, а также проектов ее решений представителей государственных органов, руководителей иных организаций, заинтересованных в решении вопросов, входящих в компетенцию комиссии в соответствии с настоящим Положением;</w:t>
      </w:r>
    </w:p>
    <w:p w:rsidR="00AA2D6D" w:rsidRDefault="00AA2D6D">
      <w:pPr>
        <w:pStyle w:val="underpoint"/>
        <w:rPr>
          <w:sz w:val="30"/>
        </w:rPr>
      </w:pPr>
      <w:r>
        <w:rPr>
          <w:sz w:val="30"/>
        </w:rPr>
        <w:t>6.3. вносить предложения о привлечении к ответственности должностных лиц государственных органов и иных организаций, не обеспечивших исполнение должностных обязанностей по охране труда.</w:t>
      </w:r>
    </w:p>
    <w:p w:rsidR="00C20863" w:rsidRDefault="00C20863">
      <w:pPr>
        <w:pStyle w:val="point"/>
        <w:jc w:val="center"/>
        <w:rPr>
          <w:sz w:val="30"/>
        </w:rPr>
      </w:pPr>
    </w:p>
    <w:p w:rsidR="00AA2D6D" w:rsidRPr="00847333" w:rsidRDefault="00AA2D6D">
      <w:pPr>
        <w:pStyle w:val="point"/>
        <w:jc w:val="center"/>
        <w:rPr>
          <w:sz w:val="30"/>
        </w:rPr>
      </w:pPr>
      <w:r w:rsidRPr="00847333">
        <w:rPr>
          <w:sz w:val="30"/>
        </w:rPr>
        <w:lastRenderedPageBreak/>
        <w:t>3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7. Комиссию возглавляет председатель. Председателем комиссии является заместитель председателя райисполкома, в должностные обязанности которого входят вопросы организации охраны труда. Персональный состав комиссии утверждается распоряжением председателя райисполкома.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8. Председатель комиссии: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руководит работой комиссии;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созывает заседания комиссии, формирует повестку дня, организует доведение ее до членов комиссии;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проводит заседания комиссии и подписывает принятые на них документы;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выполняет другие функции, возложенные на него комиссией.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9. Порядок работы комиссии и представления документов для рассмотрения на ее заседаниях определяется регламентом комиссии, который утверждается председателем комиссии.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10. Комиссия осуществляет свою деятельность в соответствии с планом работы на календарный год, утверждаемым на заседании комиссии.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11. Заседания комиссии проводятся председателем или по его поручению заместителем председателя по мере необходимости, но не реже одного раза в шесть месяцев. Место и дата проведения заседания комиссии определяются ее председателем.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12. Комиссия правомочна принимать решения при условии присутствия на ее заседании более половины членов комиссии.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Личное присутствие на заседании комиссии ее членов является обязательным. Делегирование членом комиссии своих полномочий иным должностным лицам не допускается. В случае отсутствия по уважительной причине член комиссии может в письменном виде представить председателю комиссии мнение по рассматриваемым вопросам.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13. Решение комиссии: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принимается открытым голосованием участвующих в заседании членов комиссии;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считается принятым, если за него проголосовало не менее двух третей членов комиссии, присутствовавших на заседании;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оформляется протоколом, который подписывается председателем комиссии (в случае его отсутствия – заместителем председателя комиссии).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14. Члены комиссии обладают равными правами при обсуждении рассматриваемых на заседаниях комиссии вопросов.</w:t>
      </w:r>
    </w:p>
    <w:p w:rsidR="00AA2D6D" w:rsidRPr="00847333" w:rsidRDefault="00AA2D6D">
      <w:pPr>
        <w:pStyle w:val="newncpi"/>
        <w:rPr>
          <w:sz w:val="30"/>
        </w:rPr>
      </w:pPr>
    </w:p>
    <w:p w:rsidR="00AA2D6D" w:rsidRPr="00847333" w:rsidRDefault="00AA2D6D">
      <w:pPr>
        <w:pStyle w:val="newncpi"/>
        <w:jc w:val="center"/>
        <w:rPr>
          <w:sz w:val="30"/>
        </w:rPr>
      </w:pPr>
      <w:r w:rsidRPr="00847333">
        <w:rPr>
          <w:sz w:val="30"/>
        </w:rPr>
        <w:lastRenderedPageBreak/>
        <w:t>4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 xml:space="preserve"> </w:t>
      </w:r>
      <w:proofErr w:type="gramStart"/>
      <w:r>
        <w:rPr>
          <w:sz w:val="30"/>
        </w:rPr>
        <w:t>случае</w:t>
      </w:r>
      <w:proofErr w:type="gramEnd"/>
      <w:r>
        <w:rPr>
          <w:sz w:val="30"/>
        </w:rPr>
        <w:t xml:space="preserve"> несогласия с принятым комиссией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При непринятии по итогам голосования решения комиссии по обсуждаемому вопросу председатель комиссии вправе принимать решение о его дополнительной проработке и повторном рассмотрении.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15. При необходимости решение комиссии может быть принято путем проведения письменного опроса ее членов с оформлением соответствующего протокола.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 xml:space="preserve">16. Выписки из протокола заседания комиссии направляются </w:t>
      </w:r>
      <w:proofErr w:type="gramStart"/>
      <w:r>
        <w:rPr>
          <w:sz w:val="30"/>
        </w:rPr>
        <w:t>заинтересованным</w:t>
      </w:r>
      <w:proofErr w:type="gramEnd"/>
      <w:r>
        <w:rPr>
          <w:sz w:val="30"/>
        </w:rPr>
        <w:t>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17. В период между заседаниями комиссии вопросы, находящиеся в ее компетенции в соответствии с настоящим Положением, решаются председателем комиссии или по его поручению заместителем председателя комиссии с последующим информированием членов комиссии.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18. Рабочим органом комиссии является управление по труду, занятости и социальной защите райисполкома.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19. Рабочий орган комиссии: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организует подготовку заседаний комиссии;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разрабатывает проекты планов работы комиссии, согласовывает их с членами комиссии;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ведет делопроизводство комиссии, оформляет протоколы ее заседаний, выписки из них;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 xml:space="preserve">обеспечивает доведение принятых комиссией решений </w:t>
      </w:r>
      <w:proofErr w:type="gramStart"/>
      <w:r>
        <w:rPr>
          <w:sz w:val="30"/>
        </w:rPr>
        <w:t>до</w:t>
      </w:r>
      <w:proofErr w:type="gramEnd"/>
      <w:r>
        <w:rPr>
          <w:sz w:val="30"/>
        </w:rPr>
        <w:t xml:space="preserve"> заинтересованных и организует контроль за их реализацией;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выполняет другие задачи и функции, возложенные на него председателем комиссии.</w:t>
      </w:r>
    </w:p>
    <w:p w:rsidR="00AA2D6D" w:rsidRDefault="00AA2D6D">
      <w:pPr>
        <w:pStyle w:val="point"/>
        <w:rPr>
          <w:sz w:val="30"/>
        </w:rPr>
      </w:pPr>
      <w:r>
        <w:rPr>
          <w:sz w:val="30"/>
        </w:rPr>
        <w:t>20. Организационно-техническое обеспечение работы комиссии осуществляется управлением по труду, занятости и социальной защите райисполкома.</w:t>
      </w:r>
    </w:p>
    <w:p w:rsidR="00AA2D6D" w:rsidRDefault="00AA2D6D">
      <w:pPr>
        <w:pStyle w:val="newncpi"/>
        <w:rPr>
          <w:sz w:val="30"/>
        </w:rPr>
      </w:pPr>
      <w:r>
        <w:rPr>
          <w:sz w:val="30"/>
        </w:rPr>
        <w:t> </w:t>
      </w:r>
    </w:p>
    <w:p w:rsidR="00AA2D6D" w:rsidRDefault="00AA2D6D">
      <w:pPr>
        <w:rPr>
          <w:sz w:val="30"/>
        </w:rPr>
      </w:pPr>
    </w:p>
    <w:p w:rsidR="00AA2D6D" w:rsidRPr="00847333" w:rsidRDefault="00AA2D6D"/>
    <w:sectPr w:rsidR="00AA2D6D" w:rsidRPr="0084733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16" w:rsidRDefault="00F80D16">
      <w:r>
        <w:separator/>
      </w:r>
    </w:p>
  </w:endnote>
  <w:endnote w:type="continuationSeparator" w:id="0">
    <w:p w:rsidR="00F80D16" w:rsidRDefault="00F8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16" w:rsidRDefault="00F80D16">
      <w:r>
        <w:separator/>
      </w:r>
    </w:p>
  </w:footnote>
  <w:footnote w:type="continuationSeparator" w:id="0">
    <w:p w:rsidR="00F80D16" w:rsidRDefault="00F8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6D" w:rsidRDefault="00AA2D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D6D" w:rsidRDefault="00AA2D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33"/>
    <w:rsid w:val="00093C35"/>
    <w:rsid w:val="004B6C0E"/>
    <w:rsid w:val="00847333"/>
    <w:rsid w:val="00921ECB"/>
    <w:rsid w:val="00A65FBE"/>
    <w:rsid w:val="00AA2D6D"/>
    <w:rsid w:val="00C20863"/>
    <w:rsid w:val="00F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860"/>
      </w:tabs>
      <w:jc w:val="both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40"/>
      <w:jc w:val="both"/>
    </w:pPr>
    <w:rPr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firstLine="684"/>
      <w:jc w:val="both"/>
    </w:pPr>
    <w:rPr>
      <w:sz w:val="30"/>
    </w:rPr>
  </w:style>
  <w:style w:type="paragraph" w:styleId="a6">
    <w:name w:val="Plain Text"/>
    <w:basedOn w:val="a"/>
    <w:rPr>
      <w:rFonts w:ascii="Courier New" w:hAnsi="Courier New" w:cs="Courier New"/>
    </w:rPr>
  </w:style>
  <w:style w:type="paragraph" w:styleId="a7">
    <w:name w:val="Body Text"/>
    <w:aliases w:val="Основной текст Знак, Знак5 Знак, Знак5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ind w:firstLine="700"/>
      <w:jc w:val="both"/>
    </w:pPr>
    <w:rPr>
      <w:sz w:val="30"/>
    </w:rPr>
  </w:style>
  <w:style w:type="paragraph" w:customStyle="1" w:styleId="title">
    <w:name w:val="title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pPr>
      <w:ind w:firstLine="567"/>
      <w:jc w:val="both"/>
    </w:pPr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itleu">
    <w:name w:val="titleu"/>
    <w:basedOn w:val="a"/>
    <w:pPr>
      <w:spacing w:before="240" w:after="240"/>
    </w:pPr>
    <w:rPr>
      <w:b/>
      <w:bCs/>
      <w:sz w:val="24"/>
      <w:szCs w:val="24"/>
    </w:rPr>
  </w:style>
  <w:style w:type="paragraph" w:customStyle="1" w:styleId="underpoint">
    <w:name w:val="underpoint"/>
    <w:basedOn w:val="a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table" w:styleId="a9">
    <w:name w:val="Table Grid"/>
    <w:basedOn w:val="a1"/>
    <w:rsid w:val="00921E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860"/>
      </w:tabs>
      <w:jc w:val="both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40"/>
      <w:jc w:val="both"/>
    </w:pPr>
    <w:rPr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firstLine="684"/>
      <w:jc w:val="both"/>
    </w:pPr>
    <w:rPr>
      <w:sz w:val="30"/>
    </w:rPr>
  </w:style>
  <w:style w:type="paragraph" w:styleId="a6">
    <w:name w:val="Plain Text"/>
    <w:basedOn w:val="a"/>
    <w:rPr>
      <w:rFonts w:ascii="Courier New" w:hAnsi="Courier New" w:cs="Courier New"/>
    </w:rPr>
  </w:style>
  <w:style w:type="paragraph" w:styleId="a7">
    <w:name w:val="Body Text"/>
    <w:aliases w:val="Основной текст Знак, Знак5 Знак, Знак5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ind w:firstLine="700"/>
      <w:jc w:val="both"/>
    </w:pPr>
    <w:rPr>
      <w:sz w:val="30"/>
    </w:rPr>
  </w:style>
  <w:style w:type="paragraph" w:customStyle="1" w:styleId="title">
    <w:name w:val="title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pPr>
      <w:ind w:firstLine="567"/>
      <w:jc w:val="both"/>
    </w:pPr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itleu">
    <w:name w:val="titleu"/>
    <w:basedOn w:val="a"/>
    <w:pPr>
      <w:spacing w:before="240" w:after="240"/>
    </w:pPr>
    <w:rPr>
      <w:b/>
      <w:bCs/>
      <w:sz w:val="24"/>
      <w:szCs w:val="24"/>
    </w:rPr>
  </w:style>
  <w:style w:type="paragraph" w:customStyle="1" w:styleId="underpoint">
    <w:name w:val="underpoint"/>
    <w:basedOn w:val="a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table" w:styleId="a9">
    <w:name w:val="Table Grid"/>
    <w:basedOn w:val="a1"/>
    <w:rsid w:val="00921E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производственном травматизма  </vt:lpstr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производственном травматизма</dc:title>
  <dc:creator>Нина</dc:creator>
  <cp:lastModifiedBy>Казимирский Евгений Владимирович</cp:lastModifiedBy>
  <cp:revision>2</cp:revision>
  <cp:lastPrinted>2012-08-08T12:20:00Z</cp:lastPrinted>
  <dcterms:created xsi:type="dcterms:W3CDTF">2022-08-18T12:23:00Z</dcterms:created>
  <dcterms:modified xsi:type="dcterms:W3CDTF">2022-08-18T12:23:00Z</dcterms:modified>
</cp:coreProperties>
</file>