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D1EC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>РОЧС: изделия погонажные электромонтажные из неметаллических материалов включены в перечень средств обеспечения пожарной безопасности</w:t>
      </w:r>
    </w:p>
    <w:p w14:paraId="71B84DC4" w14:textId="7800BD47" w:rsidR="003B5530" w:rsidRPr="00A0208F" w:rsidRDefault="00BA413A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Несвижский</w:t>
      </w:r>
      <w:r w:rsidR="003B5530" w:rsidRPr="00A0208F">
        <w:rPr>
          <w:rFonts w:ascii="Times New Roman" w:hAnsi="Times New Roman" w:cs="Times New Roman"/>
          <w:sz w:val="24"/>
          <w:szCs w:val="24"/>
        </w:rPr>
        <w:t xml:space="preserve"> районный отдел по чрезвычайным ситуациям информирует, что изделия погонажные электромонтажные из неметаллических материалов включены в перечень средств обеспечения пожарной безопасности</w:t>
      </w:r>
      <w:r w:rsidR="00DC4823" w:rsidRPr="00A0208F">
        <w:rPr>
          <w:rFonts w:ascii="Times New Roman" w:hAnsi="Times New Roman" w:cs="Times New Roman"/>
          <w:sz w:val="24"/>
          <w:szCs w:val="24"/>
        </w:rPr>
        <w:t xml:space="preserve"> </w:t>
      </w:r>
      <w:r w:rsidR="003B5530" w:rsidRPr="00A0208F">
        <w:rPr>
          <w:rFonts w:ascii="Times New Roman" w:hAnsi="Times New Roman" w:cs="Times New Roman"/>
          <w:sz w:val="24"/>
          <w:szCs w:val="24"/>
        </w:rPr>
        <w:t xml:space="preserve">и пожаротушения (далее – </w:t>
      </w:r>
      <w:proofErr w:type="spellStart"/>
      <w:r w:rsidR="003B5530" w:rsidRPr="00A0208F">
        <w:rPr>
          <w:rFonts w:ascii="Times New Roman" w:hAnsi="Times New Roman" w:cs="Times New Roman"/>
          <w:sz w:val="24"/>
          <w:szCs w:val="24"/>
        </w:rPr>
        <w:t>СОПБиП</w:t>
      </w:r>
      <w:proofErr w:type="spellEnd"/>
      <w:r w:rsidR="003B5530" w:rsidRPr="00A0208F">
        <w:rPr>
          <w:rFonts w:ascii="Times New Roman" w:hAnsi="Times New Roman" w:cs="Times New Roman"/>
          <w:sz w:val="24"/>
          <w:szCs w:val="24"/>
        </w:rPr>
        <w:t>), на которые распространяются требования ТР ЕАЭС 043/2017 и подлежат обязательному подтверждению соответствия требованиям Регламента в форме сертификации.</w:t>
      </w:r>
    </w:p>
    <w:p w14:paraId="0FC6CF5D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>Для сертификации серийно выпускаемой продукции применяется схема 1с, для партии продукции – схема 3с.</w:t>
      </w:r>
    </w:p>
    <w:p w14:paraId="0409ACB2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>Согласно пункту 6 раздела II ТР ЕАЭС 043/2017 изделия погонажные электромонтажные ‒ электромонтажная арматура с поперечным сечением различной геометрической формы, предназначенная для прокладки кабелей и проводов (трубы, лотки, короба).</w:t>
      </w:r>
    </w:p>
    <w:p w14:paraId="73C407CA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>Вместе с тем, в соответствии с определениями, указанными в стандартах, включенных в перечень стандартов, в результате применения которых на добровольной основе обеспечивается соблюдение требований Регламента, к электромонтажной арматуре относятся жесткие и гофрированные короба, трубы, плинтусы (кабельные каналы).</w:t>
      </w:r>
    </w:p>
    <w:p w14:paraId="3E338779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 xml:space="preserve">В соответствии с пунктом 91 раздела VI Регламента соответствие </w:t>
      </w:r>
      <w:proofErr w:type="spellStart"/>
      <w:r w:rsidRPr="00A0208F">
        <w:rPr>
          <w:rFonts w:ascii="Times New Roman" w:hAnsi="Times New Roman" w:cs="Times New Roman"/>
          <w:sz w:val="24"/>
          <w:szCs w:val="24"/>
        </w:rPr>
        <w:t>СОПБиП</w:t>
      </w:r>
      <w:proofErr w:type="spellEnd"/>
      <w:r w:rsidRPr="00A0208F">
        <w:rPr>
          <w:rFonts w:ascii="Times New Roman" w:hAnsi="Times New Roman" w:cs="Times New Roman"/>
          <w:sz w:val="24"/>
          <w:szCs w:val="24"/>
        </w:rPr>
        <w:t xml:space="preserve"> ТР ЕАЭС 043/2017 обеспечивается выполнением его требований и требований других вступивших в силу технических регламентов Союза (Таможенного союза), действие которых на них распространяется,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Регламента, определенный</w:t>
      </w:r>
    </w:p>
    <w:p w14:paraId="29B7674F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>Решением Коллегии Евразийской экономической комиссии № 200 «О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«О требованиях к средствам обеспечения пожарной безопасности и пожаротушения» (ТР ЕАЭС 043/2017), и перечне международных и региональных (межгосударственных) стандартов, а в случае их отсутствия ‒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«О требованиях к средствам обеспечения пожарной безопасности и пожаротушения» (ТР ЕАЭС 043/2017) и осуществления оценки соответствия объектов технического регулирования» (ГОСТ Р 53313-2009 «Изделия погонажные электромонтажные. Требования пожарной безопасности. Методы испытаний», СТБ 1950-2009 «Арматура электромонтажная. Требования пожарной безопасности и методы испытаний»).</w:t>
      </w:r>
    </w:p>
    <w:p w14:paraId="1A2B1E03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 xml:space="preserve">Принимая во внимание требования ГОСТ Р 53313-2009 и СТБ 1950-2009, а также область их применения, </w:t>
      </w:r>
      <w:proofErr w:type="spellStart"/>
      <w:r w:rsidRPr="00A0208F">
        <w:rPr>
          <w:rFonts w:ascii="Times New Roman" w:hAnsi="Times New Roman" w:cs="Times New Roman"/>
          <w:sz w:val="24"/>
          <w:szCs w:val="24"/>
        </w:rPr>
        <w:t>металлорукава</w:t>
      </w:r>
      <w:proofErr w:type="spellEnd"/>
      <w:r w:rsidRPr="00A0208F">
        <w:rPr>
          <w:rFonts w:ascii="Times New Roman" w:hAnsi="Times New Roman" w:cs="Times New Roman"/>
          <w:sz w:val="24"/>
          <w:szCs w:val="24"/>
        </w:rPr>
        <w:t xml:space="preserve"> оцинкованные (металлические) в ПВХ изоляции входят в перечень </w:t>
      </w:r>
      <w:proofErr w:type="spellStart"/>
      <w:r w:rsidRPr="00A0208F">
        <w:rPr>
          <w:rFonts w:ascii="Times New Roman" w:hAnsi="Times New Roman" w:cs="Times New Roman"/>
          <w:sz w:val="24"/>
          <w:szCs w:val="24"/>
        </w:rPr>
        <w:t>СОПБиП</w:t>
      </w:r>
      <w:proofErr w:type="spellEnd"/>
      <w:r w:rsidRPr="00A0208F">
        <w:rPr>
          <w:rFonts w:ascii="Times New Roman" w:hAnsi="Times New Roman" w:cs="Times New Roman"/>
          <w:sz w:val="24"/>
          <w:szCs w:val="24"/>
        </w:rPr>
        <w:t>, на которые распространяются требования ТР ЕАЭС 043/2017 и подлежат обязательному подтверждению соответствия его требованиям.</w:t>
      </w:r>
    </w:p>
    <w:p w14:paraId="26B31B29" w14:textId="77777777" w:rsidR="003B5530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 xml:space="preserve">Одновременно информируем, что до момента вступления в силу ТР ЕАЭС 043/2017 указанная продукция была включена в перечень строительных материалов и изделий, подлежащих подтверждению соответствия существенным требованиям безопасности технического регламента Республики Беларусь ТР 2009/013/BY «Здания и сооружения, строительные материалы и изделия. Безопасность» (далее – ТР 2009/013/BY) и подлежала </w:t>
      </w:r>
      <w:r w:rsidRPr="00A0208F">
        <w:rPr>
          <w:rFonts w:ascii="Times New Roman" w:hAnsi="Times New Roman" w:cs="Times New Roman"/>
          <w:sz w:val="24"/>
          <w:szCs w:val="24"/>
        </w:rPr>
        <w:lastRenderedPageBreak/>
        <w:t>обязательному подтверждению соответствия его требованиям в форме сертификации. Соответствие ТР 2009/013/BY обеспечивалось выполнением требований взаимосвязанного государственного стандарта (п. 4.1 СТБ 1950-2009 «Арматура электромонтажная. Требования пожарной безопасности и методы испытаний»).</w:t>
      </w:r>
    </w:p>
    <w:p w14:paraId="03B7526C" w14:textId="0A99AD07" w:rsidR="00970FD1" w:rsidRPr="00A0208F" w:rsidRDefault="003B5530" w:rsidP="00A020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08F">
        <w:rPr>
          <w:rFonts w:ascii="Times New Roman" w:hAnsi="Times New Roman" w:cs="Times New Roman"/>
          <w:sz w:val="24"/>
          <w:szCs w:val="24"/>
        </w:rPr>
        <w:t xml:space="preserve">С уважением, сектор надзора и профилактики </w:t>
      </w:r>
      <w:r w:rsidR="00BA413A">
        <w:rPr>
          <w:rFonts w:ascii="Times New Roman" w:hAnsi="Times New Roman" w:cs="Times New Roman"/>
          <w:sz w:val="24"/>
          <w:szCs w:val="24"/>
        </w:rPr>
        <w:t>Несвижский</w:t>
      </w:r>
      <w:bookmarkStart w:id="0" w:name="_GoBack"/>
      <w:bookmarkEnd w:id="0"/>
      <w:r w:rsidRPr="00A0208F">
        <w:rPr>
          <w:rFonts w:ascii="Times New Roman" w:hAnsi="Times New Roman" w:cs="Times New Roman"/>
          <w:sz w:val="24"/>
          <w:szCs w:val="24"/>
        </w:rPr>
        <w:t xml:space="preserve"> РОЧС.</w:t>
      </w:r>
    </w:p>
    <w:sectPr w:rsidR="00970FD1" w:rsidRPr="00A0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30"/>
    <w:rsid w:val="003B5530"/>
    <w:rsid w:val="00970FD1"/>
    <w:rsid w:val="00A0208F"/>
    <w:rsid w:val="00AC34C3"/>
    <w:rsid w:val="00BA413A"/>
    <w:rsid w:val="00D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06CD"/>
  <w15:chartTrackingRefBased/>
  <w15:docId w15:val="{27A0FCC9-66FC-4D19-B954-6205D00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INiP Nesvizh</cp:lastModifiedBy>
  <cp:revision>6</cp:revision>
  <dcterms:created xsi:type="dcterms:W3CDTF">2022-07-22T06:56:00Z</dcterms:created>
  <dcterms:modified xsi:type="dcterms:W3CDTF">2022-12-22T13:52:00Z</dcterms:modified>
</cp:coreProperties>
</file>