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F2CE" w14:textId="77777777" w:rsidR="000A0923" w:rsidRPr="000A0923" w:rsidRDefault="000A0923" w:rsidP="005265B2">
      <w:pPr>
        <w:spacing w:after="120"/>
        <w:ind w:firstLine="709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0A0923">
        <w:rPr>
          <w:rFonts w:ascii="Times New Roman" w:hAnsi="Times New Roman"/>
          <w:b/>
          <w:sz w:val="30"/>
          <w:szCs w:val="30"/>
        </w:rPr>
        <w:t>О трансграничном размещении и обращении ценных бумаг в рамках ЕАЭС</w:t>
      </w:r>
    </w:p>
    <w:p w14:paraId="0483BE07" w14:textId="77777777" w:rsidR="0051050A" w:rsidRDefault="0051050A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настоящему времени</w:t>
      </w:r>
      <w:r w:rsidR="000A092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создаются дополнительные</w:t>
      </w:r>
      <w:r w:rsidR="000A0923" w:rsidRPr="00C42268">
        <w:rPr>
          <w:rFonts w:ascii="Times New Roman" w:hAnsi="Times New Roman"/>
          <w:sz w:val="30"/>
          <w:szCs w:val="30"/>
        </w:rPr>
        <w:t xml:space="preserve"> возможност</w:t>
      </w:r>
      <w:r>
        <w:rPr>
          <w:rFonts w:ascii="Times New Roman" w:hAnsi="Times New Roman"/>
          <w:sz w:val="30"/>
          <w:szCs w:val="30"/>
        </w:rPr>
        <w:t>и привлечения финансовых ресурсов на рынках ЕАЭС через ценные бумаги.</w:t>
      </w:r>
    </w:p>
    <w:p w14:paraId="4D1DC951" w14:textId="22E4EB5B" w:rsidR="000A0923" w:rsidRDefault="0051050A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31 января 2025 г. подписано </w:t>
      </w:r>
      <w:hyperlink r:id="rId7" w:history="1">
        <w:r w:rsidR="000A0923" w:rsidRPr="00852403">
          <w:rPr>
            <w:rStyle w:val="a9"/>
            <w:rFonts w:ascii="Times New Roman" w:hAnsi="Times New Roman"/>
            <w:sz w:val="30"/>
            <w:szCs w:val="30"/>
          </w:rPr>
          <w:t>Соглашени</w:t>
        </w:r>
        <w:r>
          <w:rPr>
            <w:rStyle w:val="a9"/>
            <w:rFonts w:ascii="Times New Roman" w:hAnsi="Times New Roman"/>
            <w:sz w:val="30"/>
            <w:szCs w:val="30"/>
          </w:rPr>
          <w:t>е</w:t>
        </w:r>
        <w:r w:rsidR="000A0923" w:rsidRPr="00852403">
          <w:rPr>
            <w:rStyle w:val="a9"/>
            <w:rFonts w:ascii="Times New Roman" w:hAnsi="Times New Roman"/>
            <w:sz w:val="30"/>
            <w:szCs w:val="30"/>
          </w:rPr>
          <w:t xml:space="preserve"> о трансграничном допуске к размещению и обращению ценных бумаг на организованных торгах в государствах – членах Евразийского экономического союза</w:t>
        </w:r>
      </w:hyperlink>
      <w:r w:rsidR="000A0923">
        <w:rPr>
          <w:rFonts w:ascii="Times New Roman" w:hAnsi="Times New Roman"/>
          <w:sz w:val="30"/>
          <w:szCs w:val="30"/>
        </w:rPr>
        <w:t xml:space="preserve">. </w:t>
      </w:r>
      <w:r w:rsidR="000A0923" w:rsidRPr="00C42268">
        <w:rPr>
          <w:rFonts w:ascii="Times New Roman" w:hAnsi="Times New Roman"/>
          <w:sz w:val="30"/>
          <w:szCs w:val="30"/>
        </w:rPr>
        <w:t>В настоящее время в государствах-членах осуществляются процедуры ратификации, необходимые для его вступления в силу</w:t>
      </w:r>
      <w:r w:rsidR="000A0923">
        <w:rPr>
          <w:rFonts w:ascii="Times New Roman" w:hAnsi="Times New Roman"/>
          <w:sz w:val="30"/>
          <w:szCs w:val="30"/>
        </w:rPr>
        <w:t>.</w:t>
      </w:r>
    </w:p>
    <w:p w14:paraId="0AC0F9CD" w14:textId="77777777" w:rsidR="000A0923" w:rsidRDefault="000A0923" w:rsidP="005265B2">
      <w:pPr>
        <w:spacing w:after="120" w:line="280" w:lineRule="exact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C42268">
        <w:rPr>
          <w:rFonts w:ascii="Times New Roman" w:hAnsi="Times New Roman"/>
          <w:i/>
          <w:sz w:val="30"/>
          <w:szCs w:val="30"/>
        </w:rPr>
        <w:t>Справочно. Соглашение ратифицировано в Республике Беларусь (подписан Закон Республики Беларусь от 11 июля 2025 г. № 83-З) и в Российской Федерации (подписан Федеральный закон от 7 июля 2025 г. № 187-ФЗ)</w:t>
      </w:r>
      <w:r>
        <w:rPr>
          <w:rFonts w:ascii="Times New Roman" w:hAnsi="Times New Roman"/>
          <w:i/>
          <w:sz w:val="30"/>
          <w:szCs w:val="30"/>
        </w:rPr>
        <w:t>.</w:t>
      </w:r>
    </w:p>
    <w:p w14:paraId="283BEAFE" w14:textId="77777777" w:rsidR="000A0923" w:rsidRDefault="000A0923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2C348A">
        <w:rPr>
          <w:rFonts w:ascii="Times New Roman" w:hAnsi="Times New Roman"/>
          <w:sz w:val="30"/>
          <w:szCs w:val="30"/>
        </w:rPr>
        <w:t xml:space="preserve">Данное Соглашение создает правовые условия для осуществления трансграничного допуска ценных бумаг </w:t>
      </w:r>
      <w:r>
        <w:rPr>
          <w:rFonts w:ascii="Times New Roman" w:hAnsi="Times New Roman"/>
          <w:sz w:val="30"/>
          <w:szCs w:val="30"/>
        </w:rPr>
        <w:t xml:space="preserve">(акций и облигаций) </w:t>
      </w:r>
      <w:r w:rsidRPr="002C348A">
        <w:rPr>
          <w:rFonts w:ascii="Times New Roman" w:hAnsi="Times New Roman"/>
          <w:sz w:val="30"/>
          <w:szCs w:val="30"/>
        </w:rPr>
        <w:t>к торгам на биржах ЕАЭС</w:t>
      </w:r>
      <w:r>
        <w:rPr>
          <w:rFonts w:ascii="Times New Roman" w:hAnsi="Times New Roman"/>
          <w:sz w:val="30"/>
          <w:szCs w:val="30"/>
        </w:rPr>
        <w:t xml:space="preserve"> (в том числе Беларуси, России, Казахстана, Кыргызстана и Армении).</w:t>
      </w:r>
      <w:r w:rsidRPr="002C348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Это позволит</w:t>
      </w:r>
      <w:r w:rsidRPr="002C348A">
        <w:rPr>
          <w:rFonts w:ascii="Times New Roman" w:hAnsi="Times New Roman"/>
          <w:sz w:val="30"/>
          <w:szCs w:val="30"/>
        </w:rPr>
        <w:t xml:space="preserve"> </w:t>
      </w:r>
      <w:r w:rsidR="0051050A">
        <w:rPr>
          <w:rFonts w:ascii="Times New Roman" w:hAnsi="Times New Roman"/>
          <w:sz w:val="30"/>
          <w:szCs w:val="30"/>
        </w:rPr>
        <w:t xml:space="preserve">белорусским </w:t>
      </w:r>
      <w:r w:rsidRPr="002C348A">
        <w:rPr>
          <w:rFonts w:ascii="Times New Roman" w:hAnsi="Times New Roman"/>
          <w:sz w:val="30"/>
          <w:szCs w:val="30"/>
        </w:rPr>
        <w:t>эмитентам размещать свои ценные бумаги на биржевых площадках других государств-членов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2C348A">
        <w:rPr>
          <w:rFonts w:ascii="Times New Roman" w:hAnsi="Times New Roman"/>
          <w:sz w:val="30"/>
          <w:szCs w:val="30"/>
        </w:rPr>
        <w:t xml:space="preserve">без необходимости прохождения полного перечня процедур, предусмотренных национальным законодательством каждого из </w:t>
      </w:r>
      <w:r w:rsidR="0051050A">
        <w:rPr>
          <w:rFonts w:ascii="Times New Roman" w:hAnsi="Times New Roman"/>
          <w:sz w:val="30"/>
          <w:szCs w:val="30"/>
        </w:rPr>
        <w:t>государств</w:t>
      </w:r>
      <w:r w:rsidRPr="002C348A">
        <w:rPr>
          <w:rFonts w:ascii="Times New Roman" w:hAnsi="Times New Roman"/>
          <w:sz w:val="30"/>
          <w:szCs w:val="30"/>
        </w:rPr>
        <w:t>.</w:t>
      </w:r>
    </w:p>
    <w:p w14:paraId="1DB2CA9F" w14:textId="77777777" w:rsidR="000A0923" w:rsidRPr="002C348A" w:rsidRDefault="000A0923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902B9F">
        <w:rPr>
          <w:rFonts w:ascii="Times New Roman" w:hAnsi="Times New Roman"/>
          <w:b/>
          <w:sz w:val="30"/>
          <w:szCs w:val="30"/>
        </w:rPr>
        <w:t>Механизм</w:t>
      </w:r>
      <w:r w:rsidRPr="002C348A">
        <w:rPr>
          <w:rFonts w:ascii="Times New Roman" w:hAnsi="Times New Roman"/>
          <w:sz w:val="30"/>
          <w:szCs w:val="30"/>
        </w:rPr>
        <w:t xml:space="preserve"> действия Соглашения состоит в соблюдении двух основных условий:</w:t>
      </w:r>
    </w:p>
    <w:p w14:paraId="6F140003" w14:textId="77777777" w:rsidR="000A0923" w:rsidRPr="002C348A" w:rsidRDefault="000A0923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2C348A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sz w:val="30"/>
          <w:szCs w:val="30"/>
        </w:rPr>
        <w:t> Регистрация выпуска</w:t>
      </w:r>
      <w:r w:rsidR="0051050A">
        <w:rPr>
          <w:rFonts w:ascii="Times New Roman" w:hAnsi="Times New Roman"/>
          <w:sz w:val="30"/>
          <w:szCs w:val="30"/>
        </w:rPr>
        <w:t xml:space="preserve"> в Республике Беларусь</w:t>
      </w:r>
      <w:r>
        <w:rPr>
          <w:rFonts w:ascii="Times New Roman" w:hAnsi="Times New Roman"/>
          <w:sz w:val="30"/>
          <w:szCs w:val="30"/>
        </w:rPr>
        <w:t xml:space="preserve">: </w:t>
      </w:r>
      <w:r w:rsidRPr="00194B49">
        <w:rPr>
          <w:rFonts w:ascii="Times New Roman" w:hAnsi="Times New Roman"/>
          <w:sz w:val="30"/>
          <w:szCs w:val="30"/>
        </w:rPr>
        <w:t>должен быть предварительно зарегистрирован выпуск акций или облигаций предприятия</w:t>
      </w:r>
      <w:r w:rsidR="0051050A">
        <w:rPr>
          <w:rFonts w:ascii="Times New Roman" w:hAnsi="Times New Roman"/>
          <w:sz w:val="30"/>
          <w:szCs w:val="30"/>
        </w:rPr>
        <w:t xml:space="preserve"> в соответствии с требованиями белорусского законодательства</w:t>
      </w:r>
      <w:r w:rsidRPr="002C348A">
        <w:rPr>
          <w:rFonts w:ascii="Times New Roman" w:hAnsi="Times New Roman"/>
          <w:sz w:val="30"/>
          <w:szCs w:val="30"/>
        </w:rPr>
        <w:t>;</w:t>
      </w:r>
    </w:p>
    <w:p w14:paraId="6D517384" w14:textId="77777777" w:rsidR="000A0923" w:rsidRDefault="000A0923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2C348A">
        <w:rPr>
          <w:rFonts w:ascii="Times New Roman" w:hAnsi="Times New Roman"/>
          <w:sz w:val="30"/>
          <w:szCs w:val="30"/>
        </w:rPr>
        <w:t>2.</w:t>
      </w:r>
      <w:r>
        <w:rPr>
          <w:rFonts w:ascii="Times New Roman" w:hAnsi="Times New Roman"/>
          <w:sz w:val="30"/>
          <w:szCs w:val="30"/>
        </w:rPr>
        <w:t> </w:t>
      </w:r>
      <w:r w:rsidRPr="00CC6F17">
        <w:rPr>
          <w:rFonts w:ascii="Times New Roman" w:hAnsi="Times New Roman"/>
          <w:sz w:val="30"/>
          <w:szCs w:val="30"/>
        </w:rPr>
        <w:t>Допуск к торгам в высшей категории листинга</w:t>
      </w:r>
      <w:r>
        <w:rPr>
          <w:rFonts w:ascii="Times New Roman" w:hAnsi="Times New Roman"/>
          <w:sz w:val="30"/>
          <w:szCs w:val="30"/>
        </w:rPr>
        <w:t xml:space="preserve">: </w:t>
      </w:r>
      <w:r w:rsidRPr="002C348A">
        <w:rPr>
          <w:rFonts w:ascii="Times New Roman" w:hAnsi="Times New Roman"/>
          <w:sz w:val="30"/>
          <w:szCs w:val="30"/>
        </w:rPr>
        <w:t>ценные бумаги должны быть допущены к торгам на национальной бирже и находиться в так называемой «высшей категории листинга»</w:t>
      </w:r>
      <w:r w:rsidR="0051050A">
        <w:rPr>
          <w:rStyle w:val="aa"/>
          <w:rFonts w:ascii="Times New Roman" w:hAnsi="Times New Roman"/>
          <w:sz w:val="30"/>
          <w:szCs w:val="30"/>
        </w:rPr>
        <w:footnoteReference w:id="1"/>
      </w:r>
      <w:r w:rsidRPr="002C348A">
        <w:rPr>
          <w:rFonts w:ascii="Times New Roman" w:hAnsi="Times New Roman"/>
          <w:sz w:val="30"/>
          <w:szCs w:val="30"/>
        </w:rPr>
        <w:t>.</w:t>
      </w:r>
    </w:p>
    <w:p w14:paraId="68C975AD" w14:textId="77777777" w:rsidR="000A0923" w:rsidRDefault="000A0923" w:rsidP="005265B2">
      <w:pPr>
        <w:spacing w:after="120" w:line="280" w:lineRule="exact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2C348A">
        <w:rPr>
          <w:rFonts w:ascii="Times New Roman" w:hAnsi="Times New Roman"/>
          <w:i/>
          <w:sz w:val="30"/>
          <w:szCs w:val="30"/>
        </w:rPr>
        <w:t>Справочно. Высшая категория листинга означает, что такие ценные бумаги признаны биржей наиболее надежными, эмитент прошел строгие проверки и соответствует высоким стандартам по финансовой устойчивости, прозрачности и корпоративному управлению.</w:t>
      </w:r>
    </w:p>
    <w:p w14:paraId="13B46F40" w14:textId="77777777" w:rsidR="000A0923" w:rsidRPr="00B12262" w:rsidRDefault="000A0923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902B9F">
        <w:rPr>
          <w:rFonts w:ascii="Times New Roman" w:hAnsi="Times New Roman"/>
          <w:b/>
          <w:sz w:val="30"/>
          <w:szCs w:val="30"/>
        </w:rPr>
        <w:lastRenderedPageBreak/>
        <w:t>Практическая реализация</w:t>
      </w:r>
      <w:r w:rsidRPr="00B12262">
        <w:rPr>
          <w:rFonts w:ascii="Times New Roman" w:hAnsi="Times New Roman"/>
          <w:sz w:val="30"/>
          <w:szCs w:val="30"/>
        </w:rPr>
        <w:t xml:space="preserve"> механизма </w:t>
      </w:r>
      <w:r>
        <w:rPr>
          <w:rFonts w:ascii="Times New Roman" w:hAnsi="Times New Roman"/>
          <w:sz w:val="30"/>
          <w:szCs w:val="30"/>
        </w:rPr>
        <w:t xml:space="preserve">Соглашения </w:t>
      </w:r>
      <w:r w:rsidRPr="00B12262">
        <w:rPr>
          <w:rFonts w:ascii="Times New Roman" w:hAnsi="Times New Roman"/>
          <w:sz w:val="30"/>
          <w:szCs w:val="30"/>
        </w:rPr>
        <w:t>предполагает следующие этапы:</w:t>
      </w:r>
    </w:p>
    <w:p w14:paraId="0C1CB854" w14:textId="77777777" w:rsidR="000A0923" w:rsidRPr="00B12262" w:rsidRDefault="000A0923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12262">
        <w:rPr>
          <w:rFonts w:ascii="Times New Roman" w:hAnsi="Times New Roman"/>
          <w:sz w:val="30"/>
          <w:szCs w:val="30"/>
        </w:rPr>
        <w:t xml:space="preserve">одготовка эмитентом необходимых документов в соответствии с требованиями </w:t>
      </w:r>
      <w:r>
        <w:rPr>
          <w:rFonts w:ascii="Times New Roman" w:hAnsi="Times New Roman"/>
          <w:sz w:val="30"/>
          <w:szCs w:val="30"/>
        </w:rPr>
        <w:t>С</w:t>
      </w:r>
      <w:r w:rsidRPr="00B12262">
        <w:rPr>
          <w:rFonts w:ascii="Times New Roman" w:hAnsi="Times New Roman"/>
          <w:sz w:val="30"/>
          <w:szCs w:val="30"/>
        </w:rPr>
        <w:t>оглашения и национального законодательства</w:t>
      </w:r>
      <w:r>
        <w:rPr>
          <w:rFonts w:ascii="Times New Roman" w:hAnsi="Times New Roman"/>
          <w:sz w:val="30"/>
          <w:szCs w:val="30"/>
        </w:rPr>
        <w:t>;</w:t>
      </w:r>
    </w:p>
    <w:p w14:paraId="44D82C55" w14:textId="77777777" w:rsidR="000A0923" w:rsidRPr="00B12262" w:rsidRDefault="000A0923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12262">
        <w:rPr>
          <w:rFonts w:ascii="Times New Roman" w:hAnsi="Times New Roman"/>
          <w:sz w:val="30"/>
          <w:szCs w:val="30"/>
        </w:rPr>
        <w:t xml:space="preserve">одача заявки на допуск ценных бумаг </w:t>
      </w:r>
      <w:r>
        <w:rPr>
          <w:rFonts w:ascii="Times New Roman" w:hAnsi="Times New Roman"/>
          <w:sz w:val="30"/>
          <w:szCs w:val="30"/>
        </w:rPr>
        <w:t>в адрес соответствующей</w:t>
      </w:r>
      <w:r w:rsidRPr="00B12262">
        <w:rPr>
          <w:rFonts w:ascii="Times New Roman" w:hAnsi="Times New Roman"/>
          <w:sz w:val="30"/>
          <w:szCs w:val="30"/>
        </w:rPr>
        <w:t xml:space="preserve"> биржи</w:t>
      </w:r>
      <w:r>
        <w:rPr>
          <w:rFonts w:ascii="Times New Roman" w:hAnsi="Times New Roman"/>
          <w:sz w:val="30"/>
          <w:szCs w:val="30"/>
        </w:rPr>
        <w:t>;</w:t>
      </w:r>
    </w:p>
    <w:p w14:paraId="34298D19" w14:textId="77777777" w:rsidR="000A0923" w:rsidRPr="00B12262" w:rsidRDefault="000A0923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B12262">
        <w:rPr>
          <w:rFonts w:ascii="Times New Roman" w:hAnsi="Times New Roman"/>
          <w:sz w:val="30"/>
          <w:szCs w:val="30"/>
        </w:rPr>
        <w:t xml:space="preserve">роведение процедуры допуска с учетом требований, установленных </w:t>
      </w:r>
      <w:r>
        <w:rPr>
          <w:rFonts w:ascii="Times New Roman" w:hAnsi="Times New Roman"/>
          <w:sz w:val="30"/>
          <w:szCs w:val="30"/>
        </w:rPr>
        <w:t>С</w:t>
      </w:r>
      <w:r w:rsidRPr="00B12262">
        <w:rPr>
          <w:rFonts w:ascii="Times New Roman" w:hAnsi="Times New Roman"/>
          <w:sz w:val="30"/>
          <w:szCs w:val="30"/>
        </w:rPr>
        <w:t>оглашением</w:t>
      </w:r>
      <w:r>
        <w:rPr>
          <w:rFonts w:ascii="Times New Roman" w:hAnsi="Times New Roman"/>
          <w:sz w:val="30"/>
          <w:szCs w:val="30"/>
        </w:rPr>
        <w:t xml:space="preserve"> и биржей;</w:t>
      </w:r>
    </w:p>
    <w:p w14:paraId="3916D837" w14:textId="77777777" w:rsidR="000A0923" w:rsidRDefault="000A0923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B12262">
        <w:rPr>
          <w:rFonts w:ascii="Times New Roman" w:hAnsi="Times New Roman"/>
          <w:sz w:val="30"/>
          <w:szCs w:val="30"/>
        </w:rPr>
        <w:t>рганизация торгов и последующее обслуживание размещения</w:t>
      </w:r>
      <w:r>
        <w:rPr>
          <w:rFonts w:ascii="Times New Roman" w:hAnsi="Times New Roman"/>
          <w:sz w:val="30"/>
          <w:szCs w:val="30"/>
        </w:rPr>
        <w:t xml:space="preserve"> ценных бумаг</w:t>
      </w:r>
      <w:r w:rsidRPr="00B12262">
        <w:rPr>
          <w:rFonts w:ascii="Times New Roman" w:hAnsi="Times New Roman"/>
          <w:sz w:val="30"/>
          <w:szCs w:val="30"/>
        </w:rPr>
        <w:t>.</w:t>
      </w:r>
    </w:p>
    <w:p w14:paraId="3C71918B" w14:textId="77777777" w:rsidR="000A0923" w:rsidRDefault="0039645A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Белорусским компаниям</w:t>
      </w:r>
      <w:r w:rsidR="000A0923">
        <w:rPr>
          <w:rFonts w:ascii="Times New Roman" w:hAnsi="Times New Roman"/>
          <w:sz w:val="30"/>
          <w:szCs w:val="30"/>
        </w:rPr>
        <w:t xml:space="preserve">, потенциально заинтересованным в использовании механизма Соглашения, предлагается </w:t>
      </w:r>
      <w:r>
        <w:rPr>
          <w:rFonts w:ascii="Times New Roman" w:hAnsi="Times New Roman"/>
          <w:sz w:val="30"/>
          <w:szCs w:val="30"/>
        </w:rPr>
        <w:t>заблаговременно инициировать</w:t>
      </w:r>
      <w:r w:rsidR="000A0923" w:rsidRPr="002465C0">
        <w:rPr>
          <w:rFonts w:ascii="Times New Roman" w:hAnsi="Times New Roman"/>
          <w:sz w:val="30"/>
          <w:szCs w:val="30"/>
        </w:rPr>
        <w:t xml:space="preserve"> прохождени</w:t>
      </w:r>
      <w:r>
        <w:rPr>
          <w:rFonts w:ascii="Times New Roman" w:hAnsi="Times New Roman"/>
          <w:sz w:val="30"/>
          <w:szCs w:val="30"/>
        </w:rPr>
        <w:t>е</w:t>
      </w:r>
      <w:r w:rsidR="000A0923" w:rsidRPr="002465C0">
        <w:rPr>
          <w:rFonts w:ascii="Times New Roman" w:hAnsi="Times New Roman"/>
          <w:sz w:val="30"/>
          <w:szCs w:val="30"/>
        </w:rPr>
        <w:t xml:space="preserve"> </w:t>
      </w:r>
      <w:hyperlink r:id="rId8" w:history="1">
        <w:r w:rsidR="000A0923" w:rsidRPr="002465C0">
          <w:rPr>
            <w:rStyle w:val="a9"/>
            <w:rFonts w:ascii="Times New Roman" w:hAnsi="Times New Roman"/>
            <w:sz w:val="30"/>
            <w:szCs w:val="30"/>
          </w:rPr>
          <w:t>листинга</w:t>
        </w:r>
      </w:hyperlink>
      <w:r w:rsidR="000A0923" w:rsidRPr="002465C0">
        <w:rPr>
          <w:rFonts w:ascii="Times New Roman" w:hAnsi="Times New Roman"/>
          <w:sz w:val="30"/>
          <w:szCs w:val="30"/>
        </w:rPr>
        <w:t xml:space="preserve"> н</w:t>
      </w:r>
      <w:r w:rsidR="000A0923">
        <w:rPr>
          <w:rFonts w:ascii="Times New Roman" w:hAnsi="Times New Roman"/>
          <w:sz w:val="30"/>
          <w:szCs w:val="30"/>
        </w:rPr>
        <w:t>а БВФБ.</w:t>
      </w:r>
      <w:r w:rsidR="000A0923" w:rsidRPr="002465C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Э</w:t>
      </w:r>
      <w:r w:rsidR="000A0923" w:rsidRPr="002465C0">
        <w:rPr>
          <w:rFonts w:ascii="Times New Roman" w:hAnsi="Times New Roman"/>
          <w:sz w:val="30"/>
          <w:szCs w:val="30"/>
        </w:rPr>
        <w:t xml:space="preserve">то </w:t>
      </w:r>
      <w:r>
        <w:rPr>
          <w:rFonts w:ascii="Times New Roman" w:hAnsi="Times New Roman"/>
          <w:sz w:val="30"/>
          <w:szCs w:val="30"/>
        </w:rPr>
        <w:t xml:space="preserve">станет </w:t>
      </w:r>
      <w:r w:rsidR="000A0923" w:rsidRPr="002465C0">
        <w:rPr>
          <w:rFonts w:ascii="Times New Roman" w:hAnsi="Times New Roman"/>
          <w:sz w:val="30"/>
          <w:szCs w:val="30"/>
        </w:rPr>
        <w:t>стратегическ</w:t>
      </w:r>
      <w:r>
        <w:rPr>
          <w:rFonts w:ascii="Times New Roman" w:hAnsi="Times New Roman"/>
          <w:sz w:val="30"/>
          <w:szCs w:val="30"/>
        </w:rPr>
        <w:t>ой</w:t>
      </w:r>
      <w:r w:rsidR="000A0923" w:rsidRPr="002465C0">
        <w:rPr>
          <w:rFonts w:ascii="Times New Roman" w:hAnsi="Times New Roman"/>
          <w:sz w:val="30"/>
          <w:szCs w:val="30"/>
        </w:rPr>
        <w:t xml:space="preserve"> подготовк</w:t>
      </w:r>
      <w:r>
        <w:rPr>
          <w:rFonts w:ascii="Times New Roman" w:hAnsi="Times New Roman"/>
          <w:sz w:val="30"/>
          <w:szCs w:val="30"/>
        </w:rPr>
        <w:t>ой</w:t>
      </w:r>
      <w:r w:rsidR="000A0923" w:rsidRPr="002465C0">
        <w:rPr>
          <w:rFonts w:ascii="Times New Roman" w:hAnsi="Times New Roman"/>
          <w:sz w:val="30"/>
          <w:szCs w:val="30"/>
        </w:rPr>
        <w:t xml:space="preserve"> к более легкому и быстрому допуску ценных бумаг на биржи других стран ЕАЭС в будущем. Прохождение этого этапа снизит временные и административные издержки в дальнейшем.</w:t>
      </w:r>
    </w:p>
    <w:p w14:paraId="6BE959FC" w14:textId="77777777" w:rsidR="0039645A" w:rsidRPr="0039645A" w:rsidRDefault="000A0923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AF5D68">
        <w:rPr>
          <w:rFonts w:ascii="Times New Roman" w:hAnsi="Times New Roman"/>
          <w:sz w:val="30"/>
          <w:szCs w:val="30"/>
        </w:rPr>
        <w:t>На сегодняшний день в рамках ЕАЭС функционирует 6 фондовых бирж</w:t>
      </w:r>
      <w:r w:rsidR="0039645A" w:rsidRPr="0039645A">
        <w:rPr>
          <w:rFonts w:ascii="Times New Roman" w:hAnsi="Times New Roman"/>
          <w:sz w:val="30"/>
          <w:szCs w:val="30"/>
        </w:rPr>
        <w:t>:</w:t>
      </w:r>
    </w:p>
    <w:p w14:paraId="16B0FCF5" w14:textId="39874F32" w:rsidR="002E5DFC" w:rsidRDefault="004758E0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hyperlink r:id="rId9" w:history="1">
        <w:r w:rsidR="00870BAD" w:rsidRPr="002E5DFC">
          <w:rPr>
            <w:rStyle w:val="a9"/>
            <w:rFonts w:ascii="Times New Roman" w:hAnsi="Times New Roman"/>
            <w:sz w:val="30"/>
            <w:szCs w:val="30"/>
          </w:rPr>
          <w:t>Белорусская валютно-фондовая биржа</w:t>
        </w:r>
      </w:hyperlink>
      <w:r w:rsidR="002E5DFC">
        <w:rPr>
          <w:rFonts w:ascii="Times New Roman" w:hAnsi="Times New Roman"/>
          <w:sz w:val="30"/>
          <w:szCs w:val="30"/>
        </w:rPr>
        <w:t xml:space="preserve"> (</w:t>
      </w:r>
      <w:hyperlink r:id="rId10" w:history="1">
        <w:r w:rsidR="002E5DFC" w:rsidRPr="002E5DFC">
          <w:rPr>
            <w:rStyle w:val="a9"/>
            <w:rFonts w:ascii="Times New Roman" w:hAnsi="Times New Roman"/>
            <w:sz w:val="30"/>
            <w:szCs w:val="30"/>
          </w:rPr>
          <w:t>листинг ценных бумаг</w:t>
        </w:r>
      </w:hyperlink>
      <w:r w:rsidR="002E5DFC">
        <w:rPr>
          <w:rFonts w:ascii="Times New Roman" w:hAnsi="Times New Roman"/>
          <w:sz w:val="30"/>
          <w:szCs w:val="30"/>
        </w:rPr>
        <w:t>);</w:t>
      </w:r>
    </w:p>
    <w:p w14:paraId="19BD1867" w14:textId="30550553" w:rsidR="002E5DFC" w:rsidRDefault="004758E0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hyperlink r:id="rId11" w:history="1">
        <w:r w:rsidR="002E5DFC" w:rsidRPr="002E5DFC">
          <w:rPr>
            <w:rStyle w:val="a9"/>
            <w:rFonts w:ascii="Times New Roman" w:hAnsi="Times New Roman"/>
            <w:sz w:val="30"/>
            <w:szCs w:val="30"/>
          </w:rPr>
          <w:t>ПАО «СПБ Биржа»</w:t>
        </w:r>
      </w:hyperlink>
      <w:r w:rsidR="002E5DFC">
        <w:rPr>
          <w:rFonts w:ascii="Times New Roman" w:hAnsi="Times New Roman"/>
          <w:sz w:val="30"/>
          <w:szCs w:val="30"/>
        </w:rPr>
        <w:t xml:space="preserve"> (</w:t>
      </w:r>
      <w:hyperlink r:id="rId12" w:history="1">
        <w:r w:rsidR="002E5DFC" w:rsidRPr="002E5DFC">
          <w:rPr>
            <w:rStyle w:val="a9"/>
            <w:rFonts w:ascii="Times New Roman" w:hAnsi="Times New Roman"/>
            <w:sz w:val="30"/>
            <w:szCs w:val="30"/>
          </w:rPr>
          <w:t>листинг ценных бумаг</w:t>
        </w:r>
      </w:hyperlink>
      <w:r w:rsidR="002E5DFC">
        <w:rPr>
          <w:rFonts w:ascii="Times New Roman" w:hAnsi="Times New Roman"/>
          <w:sz w:val="30"/>
          <w:szCs w:val="30"/>
        </w:rPr>
        <w:t>);</w:t>
      </w:r>
    </w:p>
    <w:p w14:paraId="48BA1CA4" w14:textId="57A675BE" w:rsidR="002E5DFC" w:rsidRDefault="004758E0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hyperlink r:id="rId13" w:history="1">
        <w:r w:rsidR="002E5DFC" w:rsidRPr="002E5DFC">
          <w:rPr>
            <w:rStyle w:val="a9"/>
            <w:rFonts w:ascii="Times New Roman" w:hAnsi="Times New Roman"/>
            <w:sz w:val="30"/>
            <w:szCs w:val="30"/>
          </w:rPr>
          <w:t>Московская биржа</w:t>
        </w:r>
      </w:hyperlink>
      <w:r w:rsidR="002E5DFC">
        <w:rPr>
          <w:rFonts w:ascii="Times New Roman" w:hAnsi="Times New Roman"/>
          <w:sz w:val="30"/>
          <w:szCs w:val="30"/>
        </w:rPr>
        <w:t xml:space="preserve"> (</w:t>
      </w:r>
      <w:hyperlink r:id="rId14" w:history="1">
        <w:r w:rsidR="005C7928" w:rsidRPr="005C7928">
          <w:rPr>
            <w:rStyle w:val="a9"/>
            <w:rFonts w:ascii="Times New Roman" w:hAnsi="Times New Roman"/>
            <w:sz w:val="30"/>
            <w:szCs w:val="30"/>
          </w:rPr>
          <w:t>листинг ценных бумаг</w:t>
        </w:r>
      </w:hyperlink>
      <w:r w:rsidR="005C7928">
        <w:rPr>
          <w:rFonts w:ascii="Times New Roman" w:hAnsi="Times New Roman"/>
          <w:sz w:val="30"/>
          <w:szCs w:val="30"/>
        </w:rPr>
        <w:t>);</w:t>
      </w:r>
    </w:p>
    <w:p w14:paraId="6F677229" w14:textId="235A6494" w:rsidR="005C7928" w:rsidRDefault="004758E0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hyperlink r:id="rId15" w:history="1">
        <w:r w:rsidR="005C7928" w:rsidRPr="005C7928">
          <w:rPr>
            <w:rStyle w:val="a9"/>
            <w:rFonts w:ascii="Times New Roman" w:hAnsi="Times New Roman"/>
            <w:sz w:val="30"/>
            <w:szCs w:val="30"/>
          </w:rPr>
          <w:t>Казахстанская фондовая биржа</w:t>
        </w:r>
      </w:hyperlink>
      <w:r w:rsidR="005C7928">
        <w:rPr>
          <w:rFonts w:ascii="Times New Roman" w:hAnsi="Times New Roman"/>
          <w:sz w:val="30"/>
          <w:szCs w:val="30"/>
        </w:rPr>
        <w:t xml:space="preserve"> (</w:t>
      </w:r>
      <w:hyperlink r:id="rId16" w:history="1">
        <w:r w:rsidR="005C7928" w:rsidRPr="005C7928">
          <w:rPr>
            <w:rStyle w:val="a9"/>
            <w:rFonts w:ascii="Times New Roman" w:hAnsi="Times New Roman"/>
            <w:sz w:val="30"/>
            <w:szCs w:val="30"/>
          </w:rPr>
          <w:t>листинг ценных бумаг</w:t>
        </w:r>
      </w:hyperlink>
      <w:r w:rsidR="005C7928">
        <w:rPr>
          <w:rFonts w:ascii="Times New Roman" w:hAnsi="Times New Roman"/>
          <w:sz w:val="30"/>
          <w:szCs w:val="30"/>
        </w:rPr>
        <w:t>);</w:t>
      </w:r>
    </w:p>
    <w:p w14:paraId="5DD13C5C" w14:textId="168CD7A6" w:rsidR="005C7928" w:rsidRDefault="004758E0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hyperlink r:id="rId17" w:history="1">
        <w:r w:rsidR="005C7928" w:rsidRPr="005C7928">
          <w:rPr>
            <w:rStyle w:val="a9"/>
            <w:rFonts w:ascii="Times New Roman" w:hAnsi="Times New Roman"/>
            <w:sz w:val="30"/>
            <w:szCs w:val="30"/>
          </w:rPr>
          <w:t>Армянская фондовая биржа</w:t>
        </w:r>
      </w:hyperlink>
      <w:r w:rsidR="005C7928">
        <w:rPr>
          <w:rFonts w:ascii="Times New Roman" w:hAnsi="Times New Roman"/>
          <w:sz w:val="30"/>
          <w:szCs w:val="30"/>
        </w:rPr>
        <w:t xml:space="preserve"> (</w:t>
      </w:r>
      <w:hyperlink r:id="rId18" w:history="1">
        <w:r w:rsidR="005C7928" w:rsidRPr="005C7928">
          <w:rPr>
            <w:rStyle w:val="a9"/>
            <w:rFonts w:ascii="Times New Roman" w:hAnsi="Times New Roman"/>
            <w:sz w:val="30"/>
            <w:szCs w:val="30"/>
          </w:rPr>
          <w:t>листинг ценных бумаг</w:t>
        </w:r>
      </w:hyperlink>
      <w:r w:rsidR="005C7928">
        <w:rPr>
          <w:rFonts w:ascii="Times New Roman" w:hAnsi="Times New Roman"/>
          <w:sz w:val="30"/>
          <w:szCs w:val="30"/>
        </w:rPr>
        <w:t>);</w:t>
      </w:r>
    </w:p>
    <w:p w14:paraId="21A9A5D7" w14:textId="77777777" w:rsidR="005265B2" w:rsidRDefault="004758E0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hyperlink r:id="rId19" w:history="1">
        <w:r w:rsidR="005C7928" w:rsidRPr="005C7928">
          <w:rPr>
            <w:rStyle w:val="a9"/>
            <w:rFonts w:ascii="Times New Roman" w:hAnsi="Times New Roman"/>
            <w:sz w:val="30"/>
            <w:szCs w:val="30"/>
          </w:rPr>
          <w:t>Кыргызская фондовая биржа</w:t>
        </w:r>
      </w:hyperlink>
      <w:r w:rsidR="005C7928">
        <w:rPr>
          <w:rFonts w:ascii="Times New Roman" w:hAnsi="Times New Roman"/>
          <w:sz w:val="30"/>
          <w:szCs w:val="30"/>
        </w:rPr>
        <w:t xml:space="preserve"> (</w:t>
      </w:r>
      <w:hyperlink r:id="rId20" w:history="1">
        <w:r w:rsidR="005C7928" w:rsidRPr="005C7928">
          <w:rPr>
            <w:rStyle w:val="a9"/>
            <w:rFonts w:ascii="Times New Roman" w:hAnsi="Times New Roman"/>
            <w:sz w:val="30"/>
            <w:szCs w:val="30"/>
          </w:rPr>
          <w:t>листинг ценных бумаг</w:t>
        </w:r>
      </w:hyperlink>
      <w:r w:rsidR="005C7928">
        <w:rPr>
          <w:rFonts w:ascii="Times New Roman" w:hAnsi="Times New Roman"/>
          <w:sz w:val="30"/>
          <w:szCs w:val="30"/>
        </w:rPr>
        <w:t xml:space="preserve">). </w:t>
      </w:r>
    </w:p>
    <w:p w14:paraId="135C05A3" w14:textId="22228734" w:rsidR="00D83A11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22 декабря 2023 г. подписано и 7 августа 2024 г. вступило в силу </w:t>
      </w:r>
      <w:hyperlink r:id="rId21" w:history="1">
        <w:r w:rsidRPr="00D83A11">
          <w:rPr>
            <w:rStyle w:val="a9"/>
            <w:rFonts w:ascii="Times New Roman" w:hAnsi="Times New Roman"/>
            <w:sz w:val="30"/>
            <w:szCs w:val="30"/>
          </w:rPr>
          <w:t>Соглашение между Республикой Беларусь и Российской Федерацией о проспектах ценных бумаг</w:t>
        </w:r>
      </w:hyperlink>
      <w:r>
        <w:rPr>
          <w:rFonts w:ascii="Times New Roman" w:hAnsi="Times New Roman"/>
          <w:sz w:val="30"/>
          <w:szCs w:val="30"/>
        </w:rPr>
        <w:t>.</w:t>
      </w:r>
    </w:p>
    <w:p w14:paraId="19223566" w14:textId="3635B36E" w:rsidR="00D83A11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Данное </w:t>
      </w:r>
      <w:r w:rsidRPr="00D83A11">
        <w:rPr>
          <w:rFonts w:ascii="Times New Roman" w:hAnsi="Times New Roman"/>
          <w:sz w:val="30"/>
          <w:szCs w:val="30"/>
        </w:rPr>
        <w:t>Соглашение предусматривает взаимное признание эмиссионных документов, сопровождающих выпуски ценных бумаг – проспектов эмиссии.</w:t>
      </w:r>
    </w:p>
    <w:p w14:paraId="453145B9" w14:textId="561D30D5" w:rsidR="00D83A11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D83A11">
        <w:rPr>
          <w:rFonts w:ascii="Times New Roman" w:hAnsi="Times New Roman"/>
          <w:sz w:val="30"/>
          <w:szCs w:val="30"/>
        </w:rPr>
        <w:t xml:space="preserve">Регистрация проспекта ценных бумаг в </w:t>
      </w:r>
      <w:r>
        <w:rPr>
          <w:rFonts w:ascii="Times New Roman" w:hAnsi="Times New Roman"/>
          <w:sz w:val="30"/>
          <w:szCs w:val="30"/>
        </w:rPr>
        <w:t>Министерстве финансов Республики Беларусь</w:t>
      </w:r>
      <w:r w:rsidRPr="00D83A11">
        <w:rPr>
          <w:rFonts w:ascii="Times New Roman" w:hAnsi="Times New Roman"/>
          <w:sz w:val="30"/>
          <w:szCs w:val="30"/>
        </w:rPr>
        <w:t xml:space="preserve"> и Банке России является обязательной процедурой для эмитента до начала распространения и обращения ценных бумаг на финансовом рынке.</w:t>
      </w:r>
    </w:p>
    <w:p w14:paraId="4216F1E0" w14:textId="77777777" w:rsidR="00D83A11" w:rsidRPr="00D83A11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D83A11">
        <w:rPr>
          <w:rFonts w:ascii="Times New Roman" w:hAnsi="Times New Roman"/>
          <w:sz w:val="30"/>
          <w:szCs w:val="30"/>
        </w:rPr>
        <w:lastRenderedPageBreak/>
        <w:t>При регистрации проспекта регулятором проводится проверка на предмет соблюдения требований к его содержанию, финансовому положению эмитента и соответствия установленным нормативам. Осуществляется контроль за отражением в проспекте полной и достоверной информации. Нарушение законодательства влечет отказ в регистрации проспекта и запрет на эмиссию ценных бумаг. На основе сведений, указанных в проспекте, потенциальные инвесторы принимают решение о покупке ценных бумаг.</w:t>
      </w:r>
    </w:p>
    <w:p w14:paraId="7AAF5C09" w14:textId="77777777" w:rsidR="00D83A11" w:rsidRPr="00D83A11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D83A11">
        <w:rPr>
          <w:rFonts w:ascii="Times New Roman" w:hAnsi="Times New Roman"/>
          <w:b/>
          <w:sz w:val="30"/>
          <w:szCs w:val="30"/>
        </w:rPr>
        <w:t>Механизм</w:t>
      </w:r>
      <w:r w:rsidRPr="00D83A11">
        <w:rPr>
          <w:rFonts w:ascii="Times New Roman" w:hAnsi="Times New Roman"/>
          <w:sz w:val="30"/>
          <w:szCs w:val="30"/>
        </w:rPr>
        <w:t xml:space="preserve"> размещения ценных бумаг белорусского эмитента на российском рынке в соответствии с названным Соглашением предполагает следующий порядок действий:</w:t>
      </w:r>
    </w:p>
    <w:p w14:paraId="346AC0FA" w14:textId="3F794364" w:rsidR="00D83A11" w:rsidRPr="00D83A11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D83A11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sz w:val="30"/>
          <w:szCs w:val="30"/>
        </w:rPr>
        <w:t> </w:t>
      </w:r>
      <w:r w:rsidRPr="00D83A11">
        <w:rPr>
          <w:rFonts w:ascii="Times New Roman" w:hAnsi="Times New Roman"/>
          <w:sz w:val="30"/>
          <w:szCs w:val="30"/>
        </w:rPr>
        <w:t>Регистрация выпуска ценных бумаг и соответственно проспекта эмиссии в Министерстве финансов Республики Беларусь</w:t>
      </w:r>
      <w:r w:rsidR="00B04EBB">
        <w:rPr>
          <w:rFonts w:ascii="Times New Roman" w:hAnsi="Times New Roman"/>
          <w:sz w:val="30"/>
          <w:szCs w:val="30"/>
        </w:rPr>
        <w:t>.</w:t>
      </w:r>
    </w:p>
    <w:p w14:paraId="7E7A0C76" w14:textId="77777777" w:rsidR="00D83A11" w:rsidRPr="00D83A11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D83A11">
        <w:rPr>
          <w:rFonts w:ascii="Times New Roman" w:hAnsi="Times New Roman"/>
          <w:sz w:val="30"/>
          <w:szCs w:val="30"/>
        </w:rPr>
        <w:t>При этом требования к проспекту достаточно универсальны, что позволяет адаптировать его для признания на различных рынках. Одним из ключевых требований является наличие финансовой отчетности (как годовой, так и промежуточной), подготовленной в соответствии с МСФО, сопровождаемой аудиторским заключением. Важным преимуществом является возможность эмиссии облигаций в иностранной валюте (при размещении на внешних рынках), что особенно актуально для белорусских корпоративных заемщиков в условиях существующих ограничений внутри Беларуси.</w:t>
      </w:r>
    </w:p>
    <w:p w14:paraId="2B3CFC4F" w14:textId="7EAA6E7D" w:rsidR="00D83A11" w:rsidRPr="00D83A11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D83A11">
        <w:rPr>
          <w:rFonts w:ascii="Times New Roman" w:hAnsi="Times New Roman"/>
          <w:sz w:val="30"/>
          <w:szCs w:val="30"/>
        </w:rPr>
        <w:t>2.</w:t>
      </w:r>
      <w:r>
        <w:rPr>
          <w:rFonts w:ascii="Times New Roman" w:hAnsi="Times New Roman"/>
          <w:sz w:val="30"/>
          <w:szCs w:val="30"/>
        </w:rPr>
        <w:t> </w:t>
      </w:r>
      <w:r w:rsidRPr="00D83A11">
        <w:rPr>
          <w:rFonts w:ascii="Times New Roman" w:hAnsi="Times New Roman"/>
          <w:sz w:val="30"/>
          <w:szCs w:val="30"/>
        </w:rPr>
        <w:t>Перевод зарегистрированных ценных бумаг в депозитарную систему России для их размещения на российском рынке.</w:t>
      </w:r>
    </w:p>
    <w:p w14:paraId="5DA83CD6" w14:textId="77777777" w:rsidR="00D83A11" w:rsidRPr="00D83A11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D83A11">
        <w:rPr>
          <w:rFonts w:ascii="Times New Roman" w:hAnsi="Times New Roman"/>
          <w:sz w:val="30"/>
          <w:szCs w:val="30"/>
        </w:rPr>
        <w:t xml:space="preserve">Фактически, эмитенту необходимо дать поручение своему депозитарию, где учитываются зарегистрированные ценные бумаги, осуществить их перевод в российскую учетную инфраструктуру. Для этого предусмотрены депозитарные мосты между белорусской и российской системами учета. </w:t>
      </w:r>
    </w:p>
    <w:p w14:paraId="1A32CB4A" w14:textId="0F8F2DCF" w:rsidR="00D83A11" w:rsidRPr="00D83A11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 w:rsidRPr="00D83A11">
        <w:rPr>
          <w:rFonts w:ascii="Times New Roman" w:hAnsi="Times New Roman"/>
          <w:sz w:val="30"/>
          <w:szCs w:val="30"/>
        </w:rPr>
        <w:t>3.</w:t>
      </w:r>
      <w:r>
        <w:rPr>
          <w:rFonts w:ascii="Times New Roman" w:hAnsi="Times New Roman"/>
          <w:sz w:val="30"/>
          <w:szCs w:val="30"/>
        </w:rPr>
        <w:t> </w:t>
      </w:r>
      <w:r w:rsidRPr="00D83A11">
        <w:rPr>
          <w:rFonts w:ascii="Times New Roman" w:hAnsi="Times New Roman"/>
          <w:sz w:val="30"/>
          <w:szCs w:val="30"/>
        </w:rPr>
        <w:t>Обращение на любую из российских бирж с необходимым пакетом документов.</w:t>
      </w:r>
    </w:p>
    <w:p w14:paraId="38E73D89" w14:textId="5843DC85" w:rsidR="00D83A11" w:rsidRPr="0039645A" w:rsidRDefault="00D83A11" w:rsidP="005265B2">
      <w:pPr>
        <w:spacing w:after="12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Pr="00D83A11">
        <w:rPr>
          <w:rFonts w:ascii="Times New Roman" w:hAnsi="Times New Roman"/>
          <w:sz w:val="30"/>
          <w:szCs w:val="30"/>
        </w:rPr>
        <w:t>егуляторами Беларуси и России проработан вопрос взаимного признания аудиторских заключений, которые прилагаются к проспекту ценных бумаг. Аудит, осуществленный белорусской компанией, не потребует проведения повторного аудита резидентом России и наоборот в рамках Соглашения.</w:t>
      </w:r>
    </w:p>
    <w:sectPr w:rsidR="00D83A11" w:rsidRPr="0039645A" w:rsidSect="005265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0C8D4" w14:textId="77777777" w:rsidR="001B687C" w:rsidRDefault="001B687C" w:rsidP="0051050A">
      <w:pPr>
        <w:spacing w:after="0" w:line="240" w:lineRule="auto"/>
      </w:pPr>
      <w:r>
        <w:separator/>
      </w:r>
    </w:p>
  </w:endnote>
  <w:endnote w:type="continuationSeparator" w:id="0">
    <w:p w14:paraId="3AD6CDDE" w14:textId="77777777" w:rsidR="001B687C" w:rsidRDefault="001B687C" w:rsidP="0051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5AF47" w14:textId="77777777" w:rsidR="001B687C" w:rsidRDefault="001B687C" w:rsidP="0051050A">
      <w:pPr>
        <w:spacing w:after="0" w:line="240" w:lineRule="auto"/>
      </w:pPr>
      <w:r>
        <w:separator/>
      </w:r>
    </w:p>
  </w:footnote>
  <w:footnote w:type="continuationSeparator" w:id="0">
    <w:p w14:paraId="50C84AEC" w14:textId="77777777" w:rsidR="001B687C" w:rsidRDefault="001B687C" w:rsidP="0051050A">
      <w:pPr>
        <w:spacing w:after="0" w:line="240" w:lineRule="auto"/>
      </w:pPr>
      <w:r>
        <w:continuationSeparator/>
      </w:r>
    </w:p>
  </w:footnote>
  <w:footnote w:id="1">
    <w:p w14:paraId="756AD499" w14:textId="77777777" w:rsidR="0051050A" w:rsidRPr="005265B2" w:rsidRDefault="0051050A" w:rsidP="005265B2">
      <w:pPr>
        <w:pStyle w:val="a4"/>
        <w:spacing w:line="180" w:lineRule="exact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="0039645A" w:rsidRPr="005265B2">
        <w:rPr>
          <w:rFonts w:ascii="Times New Roman" w:hAnsi="Times New Roman" w:cs="Times New Roman"/>
        </w:rPr>
        <w:t>Для оценки требований к листингу в Республике Беларусь необходимо изучить</w:t>
      </w:r>
      <w:r w:rsidRPr="005265B2">
        <w:rPr>
          <w:rFonts w:ascii="Times New Roman" w:hAnsi="Times New Roman" w:cs="Times New Roman"/>
        </w:rPr>
        <w:t xml:space="preserve"> </w:t>
      </w:r>
      <w:hyperlink r:id="rId1" w:history="1">
        <w:r w:rsidRPr="005265B2">
          <w:rPr>
            <w:rStyle w:val="a9"/>
            <w:rFonts w:ascii="Times New Roman" w:hAnsi="Times New Roman" w:cs="Times New Roman"/>
          </w:rPr>
          <w:t>Правила</w:t>
        </w:r>
      </w:hyperlink>
      <w:hyperlink r:id="rId2" w:history="1">
        <w:r w:rsidRPr="005265B2">
          <w:rPr>
            <w:rStyle w:val="a9"/>
            <w:rFonts w:ascii="Times New Roman" w:hAnsi="Times New Roman" w:cs="Times New Roman"/>
          </w:rPr>
          <w:t xml:space="preserve"> </w:t>
        </w:r>
      </w:hyperlink>
      <w:hyperlink r:id="rId3" w:history="1">
        <w:r w:rsidRPr="005265B2">
          <w:rPr>
            <w:rStyle w:val="a9"/>
            <w:rFonts w:ascii="Times New Roman" w:hAnsi="Times New Roman" w:cs="Times New Roman"/>
          </w:rPr>
          <w:t>листинга</w:t>
        </w:r>
      </w:hyperlink>
      <w:hyperlink r:id="rId4" w:history="1">
        <w:r w:rsidRPr="005265B2">
          <w:rPr>
            <w:rStyle w:val="a9"/>
            <w:rFonts w:ascii="Times New Roman" w:hAnsi="Times New Roman" w:cs="Times New Roman"/>
          </w:rPr>
          <w:t xml:space="preserve"> </w:t>
        </w:r>
      </w:hyperlink>
      <w:hyperlink r:id="rId5" w:history="1">
        <w:r w:rsidRPr="005265B2">
          <w:rPr>
            <w:rStyle w:val="a9"/>
            <w:rFonts w:ascii="Times New Roman" w:hAnsi="Times New Roman" w:cs="Times New Roman"/>
          </w:rPr>
          <w:t>ценных</w:t>
        </w:r>
      </w:hyperlink>
      <w:hyperlink r:id="rId6" w:history="1">
        <w:r w:rsidRPr="005265B2">
          <w:rPr>
            <w:rStyle w:val="a9"/>
            <w:rFonts w:ascii="Times New Roman" w:hAnsi="Times New Roman" w:cs="Times New Roman"/>
          </w:rPr>
          <w:t xml:space="preserve"> </w:t>
        </w:r>
      </w:hyperlink>
      <w:hyperlink r:id="rId7" w:history="1">
        <w:r w:rsidRPr="005265B2">
          <w:rPr>
            <w:rStyle w:val="a9"/>
            <w:rFonts w:ascii="Times New Roman" w:hAnsi="Times New Roman" w:cs="Times New Roman"/>
          </w:rPr>
          <w:t>бумаг</w:t>
        </w:r>
      </w:hyperlink>
      <w:hyperlink r:id="rId8" w:history="1">
        <w:r w:rsidRPr="005265B2">
          <w:rPr>
            <w:rStyle w:val="a9"/>
            <w:rFonts w:ascii="Times New Roman" w:hAnsi="Times New Roman" w:cs="Times New Roman"/>
          </w:rPr>
          <w:t xml:space="preserve"> в ОАО «</w:t>
        </w:r>
      </w:hyperlink>
      <w:hyperlink r:id="rId9" w:history="1">
        <w:r w:rsidRPr="005265B2">
          <w:rPr>
            <w:rStyle w:val="a9"/>
            <w:rFonts w:ascii="Times New Roman" w:hAnsi="Times New Roman" w:cs="Times New Roman"/>
          </w:rPr>
          <w:t>Белорусская</w:t>
        </w:r>
      </w:hyperlink>
      <w:hyperlink r:id="rId10" w:history="1">
        <w:r w:rsidRPr="005265B2">
          <w:rPr>
            <w:rStyle w:val="a9"/>
            <w:rFonts w:ascii="Times New Roman" w:hAnsi="Times New Roman" w:cs="Times New Roman"/>
          </w:rPr>
          <w:t xml:space="preserve"> </w:t>
        </w:r>
      </w:hyperlink>
      <w:hyperlink r:id="rId11" w:history="1">
        <w:r w:rsidRPr="005265B2">
          <w:rPr>
            <w:rStyle w:val="a9"/>
            <w:rFonts w:ascii="Times New Roman" w:hAnsi="Times New Roman" w:cs="Times New Roman"/>
          </w:rPr>
          <w:t>валютно-фондовая</w:t>
        </w:r>
      </w:hyperlink>
      <w:hyperlink r:id="rId12" w:history="1">
        <w:r w:rsidRPr="005265B2">
          <w:rPr>
            <w:rStyle w:val="a9"/>
            <w:rFonts w:ascii="Times New Roman" w:hAnsi="Times New Roman" w:cs="Times New Roman"/>
          </w:rPr>
          <w:t xml:space="preserve"> </w:t>
        </w:r>
      </w:hyperlink>
      <w:hyperlink r:id="rId13" w:history="1">
        <w:r w:rsidRPr="005265B2">
          <w:rPr>
            <w:rStyle w:val="a9"/>
            <w:rFonts w:ascii="Times New Roman" w:hAnsi="Times New Roman" w:cs="Times New Roman"/>
          </w:rPr>
          <w:t>биржа</w:t>
        </w:r>
      </w:hyperlink>
      <w:hyperlink r:id="rId14" w:history="1">
        <w:r w:rsidRPr="005265B2">
          <w:rPr>
            <w:rStyle w:val="a9"/>
            <w:rFonts w:ascii="Times New Roman" w:hAnsi="Times New Roman" w:cs="Times New Roman"/>
          </w:rPr>
          <w:t>»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23"/>
    <w:rsid w:val="00070E33"/>
    <w:rsid w:val="000769D0"/>
    <w:rsid w:val="000A0923"/>
    <w:rsid w:val="000D05DF"/>
    <w:rsid w:val="001B687C"/>
    <w:rsid w:val="002E5DFC"/>
    <w:rsid w:val="0039645A"/>
    <w:rsid w:val="00464461"/>
    <w:rsid w:val="004758E0"/>
    <w:rsid w:val="004871D5"/>
    <w:rsid w:val="004C452F"/>
    <w:rsid w:val="0051050A"/>
    <w:rsid w:val="005265B2"/>
    <w:rsid w:val="005C7928"/>
    <w:rsid w:val="005E77EF"/>
    <w:rsid w:val="005F6B99"/>
    <w:rsid w:val="00634F12"/>
    <w:rsid w:val="006A19BB"/>
    <w:rsid w:val="0086449E"/>
    <w:rsid w:val="00870BAD"/>
    <w:rsid w:val="008F37CD"/>
    <w:rsid w:val="00956AED"/>
    <w:rsid w:val="00B04EBB"/>
    <w:rsid w:val="00BE2816"/>
    <w:rsid w:val="00D83A11"/>
    <w:rsid w:val="00EA161B"/>
    <w:rsid w:val="00F8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9392"/>
  <w15:chartTrackingRefBased/>
  <w15:docId w15:val="{3514D69B-165F-46C1-A333-E2F14CA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4"/>
    <w:link w:val="a5"/>
    <w:autoRedefine/>
    <w:uiPriority w:val="99"/>
    <w:unhideWhenUsed/>
    <w:rsid w:val="0086449E"/>
    <w:pPr>
      <w:widowControl w:val="0"/>
      <w:spacing w:after="0" w:line="300" w:lineRule="auto"/>
      <w:ind w:firstLine="700"/>
    </w:pPr>
    <w:rPr>
      <w:rFonts w:eastAsia="Times New Roman" w:cs="Times New Roman"/>
      <w:snapToGrid w:val="0"/>
      <w:sz w:val="32"/>
      <w:szCs w:val="20"/>
      <w:lang w:val="en-US" w:eastAsia="ru-RU"/>
    </w:rPr>
  </w:style>
  <w:style w:type="character" w:customStyle="1" w:styleId="a5">
    <w:name w:val="Текст примечания Знак"/>
    <w:basedOn w:val="a0"/>
    <w:link w:val="a3"/>
    <w:uiPriority w:val="99"/>
    <w:rsid w:val="0086449E"/>
    <w:rPr>
      <w:rFonts w:eastAsia="Times New Roman" w:cs="Times New Roman"/>
      <w:snapToGrid w:val="0"/>
      <w:sz w:val="32"/>
      <w:szCs w:val="20"/>
      <w:lang w:val="en-US" w:eastAsia="ru-RU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sid w:val="00070E33"/>
    <w:pPr>
      <w:spacing w:after="0" w:line="240" w:lineRule="auto"/>
    </w:pPr>
    <w:rPr>
      <w:rFonts w:ascii="Tahoma" w:hAnsi="Tahoma" w:cs="Tahoma"/>
      <w:sz w:val="24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E33"/>
    <w:rPr>
      <w:rFonts w:ascii="Tahoma" w:hAnsi="Tahoma" w:cs="Tahoma"/>
      <w:sz w:val="24"/>
      <w:szCs w:val="16"/>
    </w:rPr>
  </w:style>
  <w:style w:type="paragraph" w:styleId="a4">
    <w:name w:val="footnote text"/>
    <w:basedOn w:val="a"/>
    <w:link w:val="a8"/>
    <w:uiPriority w:val="99"/>
    <w:semiHidden/>
    <w:unhideWhenUsed/>
    <w:rsid w:val="0086449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4"/>
    <w:uiPriority w:val="99"/>
    <w:semiHidden/>
    <w:rsid w:val="0086449E"/>
    <w:rPr>
      <w:sz w:val="20"/>
      <w:szCs w:val="20"/>
    </w:rPr>
  </w:style>
  <w:style w:type="character" w:styleId="a9">
    <w:name w:val="Hyperlink"/>
    <w:basedOn w:val="a0"/>
    <w:uiPriority w:val="99"/>
    <w:unhideWhenUsed/>
    <w:rsid w:val="000A0923"/>
    <w:rPr>
      <w:color w:val="0563C1" w:themeColor="hyperlink"/>
      <w:u w:val="single"/>
    </w:rPr>
  </w:style>
  <w:style w:type="character" w:styleId="aa">
    <w:name w:val="footnote reference"/>
    <w:basedOn w:val="a0"/>
    <w:uiPriority w:val="99"/>
    <w:semiHidden/>
    <w:unhideWhenUsed/>
    <w:rsid w:val="0051050A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51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1050A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39645A"/>
    <w:rPr>
      <w:sz w:val="16"/>
      <w:szCs w:val="16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39645A"/>
    <w:pPr>
      <w:widowControl/>
      <w:spacing w:after="160" w:line="240" w:lineRule="auto"/>
      <w:ind w:firstLine="0"/>
    </w:pPr>
    <w:rPr>
      <w:rFonts w:eastAsiaTheme="minorHAnsi" w:cstheme="minorBidi"/>
      <w:b/>
      <w:bCs/>
      <w:snapToGrid/>
      <w:sz w:val="20"/>
      <w:lang w:val="ru-RU" w:eastAsia="en-US"/>
    </w:rPr>
  </w:style>
  <w:style w:type="character" w:customStyle="1" w:styleId="ae">
    <w:name w:val="Тема примечания Знак"/>
    <w:basedOn w:val="a5"/>
    <w:link w:val="ad"/>
    <w:uiPriority w:val="99"/>
    <w:semiHidden/>
    <w:rsid w:val="0039645A"/>
    <w:rPr>
      <w:rFonts w:eastAsia="Times New Roman" w:cs="Times New Roman"/>
      <w:b/>
      <w:bCs/>
      <w:snapToGrid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se.by/for_issuers/listing" TargetMode="External"/><Relationship Id="rId13" Type="http://schemas.openxmlformats.org/officeDocument/2006/relationships/hyperlink" Target="https://www.moex.com/" TargetMode="External"/><Relationship Id="rId18" Type="http://schemas.openxmlformats.org/officeDocument/2006/relationships/hyperlink" Target="https://amx.am/en/listing_marke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.by/document/?guid=12551&amp;p0=I02300056" TargetMode="External"/><Relationship Id="rId7" Type="http://schemas.openxmlformats.org/officeDocument/2006/relationships/hyperlink" Target="https://pravo.by/document/?guid=12551&amp;p0=F02500030" TargetMode="External"/><Relationship Id="rId12" Type="http://schemas.openxmlformats.org/officeDocument/2006/relationships/hyperlink" Target="https://spbexchange.ru/listing/securities-access/" TargetMode="External"/><Relationship Id="rId17" Type="http://schemas.openxmlformats.org/officeDocument/2006/relationships/hyperlink" Target="https://amx.am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se.kz/ru/listing/how-to-become-listed-company" TargetMode="External"/><Relationship Id="rId20" Type="http://schemas.openxmlformats.org/officeDocument/2006/relationships/hyperlink" Target="https://www.kse.kg/files/upload/24556fd5bf556c06960219cfbecb5d43_ListingRules_old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pbexchang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ase.kz/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cse.by/for_issuers/listing" TargetMode="External"/><Relationship Id="rId19" Type="http://schemas.openxmlformats.org/officeDocument/2006/relationships/hyperlink" Target="https://www.kse.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se.by/" TargetMode="External"/><Relationship Id="rId14" Type="http://schemas.openxmlformats.org/officeDocument/2006/relationships/hyperlink" Target="https://www.moex.com/s19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se.by/markets/stock/rules/" TargetMode="External"/><Relationship Id="rId13" Type="http://schemas.openxmlformats.org/officeDocument/2006/relationships/hyperlink" Target="https://www.bcse.by/markets/stock/rules/" TargetMode="External"/><Relationship Id="rId3" Type="http://schemas.openxmlformats.org/officeDocument/2006/relationships/hyperlink" Target="https://www.bcse.by/markets/stock/rules/" TargetMode="External"/><Relationship Id="rId7" Type="http://schemas.openxmlformats.org/officeDocument/2006/relationships/hyperlink" Target="https://www.bcse.by/markets/stock/rules/" TargetMode="External"/><Relationship Id="rId12" Type="http://schemas.openxmlformats.org/officeDocument/2006/relationships/hyperlink" Target="https://www.bcse.by/markets/stock/rules/" TargetMode="External"/><Relationship Id="rId2" Type="http://schemas.openxmlformats.org/officeDocument/2006/relationships/hyperlink" Target="https://www.bcse.by/markets/stock/rules/" TargetMode="External"/><Relationship Id="rId1" Type="http://schemas.openxmlformats.org/officeDocument/2006/relationships/hyperlink" Target="https://www.bcse.by/markets/stock/rules/" TargetMode="External"/><Relationship Id="rId6" Type="http://schemas.openxmlformats.org/officeDocument/2006/relationships/hyperlink" Target="https://www.bcse.by/markets/stock/rules/" TargetMode="External"/><Relationship Id="rId11" Type="http://schemas.openxmlformats.org/officeDocument/2006/relationships/hyperlink" Target="https://www.bcse.by/markets/stock/rules/" TargetMode="External"/><Relationship Id="rId5" Type="http://schemas.openxmlformats.org/officeDocument/2006/relationships/hyperlink" Target="https://www.bcse.by/markets/stock/rules/" TargetMode="External"/><Relationship Id="rId10" Type="http://schemas.openxmlformats.org/officeDocument/2006/relationships/hyperlink" Target="https://www.bcse.by/markets/stock/rules/" TargetMode="External"/><Relationship Id="rId4" Type="http://schemas.openxmlformats.org/officeDocument/2006/relationships/hyperlink" Target="https://www.bcse.by/markets/stock/rules/" TargetMode="External"/><Relationship Id="rId9" Type="http://schemas.openxmlformats.org/officeDocument/2006/relationships/hyperlink" Target="https://www.bcse.by/markets/stock/rules/" TargetMode="External"/><Relationship Id="rId14" Type="http://schemas.openxmlformats.org/officeDocument/2006/relationships/hyperlink" Target="https://www.bcse.by/markets/stock/ru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463B6-4B69-4BB9-8CAC-2138D11B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Татьяна</dc:creator>
  <cp:keywords/>
  <dc:description/>
  <cp:lastModifiedBy>Флорьянович Алина Михайловна</cp:lastModifiedBy>
  <cp:revision>2</cp:revision>
  <dcterms:created xsi:type="dcterms:W3CDTF">2025-10-27T09:45:00Z</dcterms:created>
  <dcterms:modified xsi:type="dcterms:W3CDTF">2025-10-27T09:45:00Z</dcterms:modified>
</cp:coreProperties>
</file>