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989" w:rsidRPr="006B2989" w:rsidRDefault="006B2989" w:rsidP="006B298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2989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Пример заполнения заявки на участие в работе комиссии инспектора Госэнергогазнадзора</w:t>
      </w:r>
      <w:r w:rsidRPr="006B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2989" w:rsidRPr="006B2989" w:rsidRDefault="006B2989" w:rsidP="006B2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2989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6480000" cy="6436800"/>
            <wp:effectExtent l="0" t="0" r="0" b="2540"/>
            <wp:docPr id="7" name="Рисунок 7" descr="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64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989" w:rsidRPr="006B2989" w:rsidRDefault="006B2989" w:rsidP="006B29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989">
        <w:rPr>
          <w:rFonts w:ascii="Times New Roman" w:eastAsia="Times New Roman" w:hAnsi="Times New Roman" w:cs="Times New Roman"/>
          <w:sz w:val="24"/>
          <w:szCs w:val="24"/>
        </w:rPr>
        <w:t>Готовность к работе в осенне-зимний период признается единогласным решением всех членов комиссии, которое оформляется актом проверки готовности потребителя к работе в осенне-зимний период по форме согласно приложению 2</w:t>
      </w:r>
      <w:r w:rsidRPr="006B298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hyperlink r:id="rId5" w:history="1">
        <w:r w:rsidRPr="006B29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(скачать форму акта готовности приложение 2)</w:t>
        </w:r>
      </w:hyperlink>
      <w:hyperlink r:id="rId6" w:history="1">
        <w:r w:rsidRPr="006B29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</w:hyperlink>
      <w:r w:rsidRPr="006B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2989" w:rsidRPr="006B2989" w:rsidRDefault="006B2989" w:rsidP="006B298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298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6B29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Пример заполнения акта проверки готовности потребителя тепловой энергии к работе в осенне-зимний период</w:t>
      </w:r>
      <w:r w:rsidRPr="006B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2989" w:rsidRPr="006B2989" w:rsidRDefault="006B2989" w:rsidP="006B298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2989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6825600" cy="4813200"/>
            <wp:effectExtent l="0" t="0" r="0" b="6985"/>
            <wp:docPr id="6" name="Рисунок 6" descr="Документ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кумент 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600" cy="48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98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bookmarkStart w:id="0" w:name="_GoBack"/>
      <w:bookmarkEnd w:id="0"/>
    </w:p>
    <w:p w:rsidR="006B2989" w:rsidRPr="006B2989" w:rsidRDefault="006B2989" w:rsidP="006B29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989">
        <w:rPr>
          <w:rFonts w:ascii="Times New Roman" w:eastAsia="Times New Roman" w:hAnsi="Times New Roman" w:cs="Times New Roman"/>
          <w:sz w:val="24"/>
          <w:szCs w:val="24"/>
        </w:rPr>
        <w:t xml:space="preserve">Первый экземпляр акта проверки готовности потребителя должен храниться в организации, второй – в органе госэнергогазнадзора. Копия акта проверки готовности потребителя передается организациями, указанными в пункте 33 Правил, в энергоснабжающую организацию (при ее наличии), а по жилищному фонду, не находящемуся на обслуживании организаций, входящих в систему Министерства жилищно-коммунального хозяйства, – в районную (городскую) организацию, осуществляющую эксплуатацию жилищного фонда и (или) предоставляющую жилищно-коммунальные услуги, подчиненную местным исполнительным и распорядительным органам. </w:t>
      </w:r>
    </w:p>
    <w:p w:rsidR="006B2989" w:rsidRPr="006B2989" w:rsidRDefault="006B2989" w:rsidP="006B29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989">
        <w:rPr>
          <w:rFonts w:ascii="Times New Roman" w:eastAsia="Times New Roman" w:hAnsi="Times New Roman" w:cs="Times New Roman"/>
          <w:sz w:val="24"/>
          <w:szCs w:val="24"/>
        </w:rPr>
        <w:t>К акту проверки готовности потребителя прилагается перечень всех объектов, принадлежащих организации (по жилищному фонду – перечень всех жилых домов , в том числе многоквартирных с поквартирным отоплением и (или) горячим водоснабжением)</w:t>
      </w:r>
      <w:r w:rsidRPr="006B298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hyperlink r:id="rId8" w:history="1">
        <w:r w:rsidRPr="006B29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(скачать рекомендуемую форму перечня объектов теплопотребления приложение 3)</w:t>
        </w:r>
      </w:hyperlink>
      <w:hyperlink r:id="rId9" w:history="1">
        <w:r w:rsidRPr="006B29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</w:hyperlink>
      <w:hyperlink r:id="rId10" w:history="1">
        <w:r w:rsidRPr="006B29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</w:hyperlink>
    </w:p>
    <w:p w:rsidR="006B2989" w:rsidRPr="006B2989" w:rsidRDefault="006B2989" w:rsidP="006B298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6B29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Пример</w:t>
      </w:r>
      <w:proofErr w:type="spellEnd"/>
      <w:r w:rsidRPr="006B29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6B29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заполнения</w:t>
      </w:r>
      <w:proofErr w:type="spellEnd"/>
      <w:r w:rsidRPr="006B29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6B29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перечня</w:t>
      </w:r>
      <w:proofErr w:type="spellEnd"/>
      <w:r w:rsidRPr="006B29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6B29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объектов</w:t>
      </w:r>
      <w:proofErr w:type="spellEnd"/>
      <w:r w:rsidRPr="006B2989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val="en-US"/>
        </w:rPr>
        <w:t xml:space="preserve"> </w:t>
      </w:r>
    </w:p>
    <w:p w:rsidR="006B2989" w:rsidRPr="006B2989" w:rsidRDefault="006B2989" w:rsidP="006B29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2989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6710400" cy="6829200"/>
            <wp:effectExtent l="0" t="0" r="0" b="0"/>
            <wp:docPr id="5" name="Рисунок 5" descr="Документ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окумент 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400" cy="68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989" w:rsidRPr="006B2989" w:rsidRDefault="006B2989" w:rsidP="006B29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B2989" w:rsidRPr="006B2989" w:rsidRDefault="006B2989" w:rsidP="006B29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989">
        <w:rPr>
          <w:rFonts w:ascii="Times New Roman" w:eastAsia="Times New Roman" w:hAnsi="Times New Roman" w:cs="Times New Roman"/>
          <w:i/>
          <w:iCs/>
          <w:sz w:val="24"/>
          <w:szCs w:val="24"/>
        </w:rPr>
        <w:t>* Отдельно выделять жилые дома, использующие поквартирное газовое оборудование для отопления и (или) горячего водоснабжения.</w:t>
      </w:r>
      <w:r w:rsidRPr="006B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2989" w:rsidRPr="006B2989" w:rsidRDefault="006B2989" w:rsidP="006B29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989">
        <w:rPr>
          <w:rFonts w:ascii="Times New Roman" w:eastAsia="Times New Roman" w:hAnsi="Times New Roman" w:cs="Times New Roman"/>
          <w:sz w:val="24"/>
          <w:szCs w:val="24"/>
        </w:rPr>
        <w:t xml:space="preserve">Условием готовности потребителя является в том числе проведение гидравлических испытаний тепловых сетей, </w:t>
      </w:r>
      <w:proofErr w:type="spellStart"/>
      <w:r w:rsidRPr="006B2989">
        <w:rPr>
          <w:rFonts w:ascii="Times New Roman" w:eastAsia="Times New Roman" w:hAnsi="Times New Roman" w:cs="Times New Roman"/>
          <w:sz w:val="24"/>
          <w:szCs w:val="24"/>
        </w:rPr>
        <w:t>водоподогревателей</w:t>
      </w:r>
      <w:proofErr w:type="spellEnd"/>
      <w:r w:rsidRPr="006B2989">
        <w:rPr>
          <w:rFonts w:ascii="Times New Roman" w:eastAsia="Times New Roman" w:hAnsi="Times New Roman" w:cs="Times New Roman"/>
          <w:sz w:val="24"/>
          <w:szCs w:val="24"/>
        </w:rPr>
        <w:t>, гидравлических испытаний и промывки трубопроводов и оборудования тепловых пунктов, систем отопления, трубопроводов и калориферов систем вентиляции с оформлением соответствующих актов, содержащих сведения о параметрах испытаний, а также о рабочем давлении теплоносителя по рекомендуемым формам согласно</w:t>
      </w:r>
      <w:r w:rsidRPr="006B298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6B2989">
        <w:rPr>
          <w:rFonts w:ascii="Times New Roman" w:eastAsia="Times New Roman" w:hAnsi="Times New Roman" w:cs="Times New Roman"/>
          <w:sz w:val="24"/>
          <w:szCs w:val="24"/>
        </w:rPr>
        <w:t>приложениям 4, 5</w:t>
      </w:r>
      <w:r w:rsidRPr="006B298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hyperlink r:id="rId12" w:history="1">
        <w:r w:rsidRPr="006B29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(скачать рекомендуемую форму акта гидравлических испытаний и акта проведения промывки системы теплопотребления Приложение 4, 5)</w:t>
        </w:r>
      </w:hyperlink>
      <w:hyperlink r:id="rId13" w:history="1">
        <w:r w:rsidRPr="006B29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</w:hyperlink>
      <w:r w:rsidRPr="006B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2989" w:rsidRPr="006B2989" w:rsidRDefault="006B2989" w:rsidP="006B29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989">
        <w:rPr>
          <w:rFonts w:ascii="Times New Roman" w:eastAsia="Times New Roman" w:hAnsi="Times New Roman" w:cs="Times New Roman"/>
          <w:sz w:val="24"/>
          <w:szCs w:val="24"/>
        </w:rPr>
        <w:t>Условием готовности потребителя в газифицированном жилищном фонде является в том числе наличие заверенных копий:</w:t>
      </w:r>
      <w:r w:rsidRPr="006B2989">
        <w:rPr>
          <w:rFonts w:ascii="Times New Roman" w:eastAsia="Times New Roman" w:hAnsi="Times New Roman" w:cs="Times New Roman"/>
          <w:sz w:val="24"/>
          <w:szCs w:val="24"/>
        </w:rPr>
        <w:br/>
      </w:r>
      <w:r w:rsidRPr="006B2989">
        <w:rPr>
          <w:rFonts w:ascii="Times New Roman" w:eastAsia="Times New Roman" w:hAnsi="Times New Roman" w:cs="Times New Roman"/>
          <w:sz w:val="24"/>
          <w:szCs w:val="24"/>
        </w:rPr>
        <w:lastRenderedPageBreak/>
        <w:t>акта проверки технического состояния дымовых и вентиляционных каналов с приложение к акту (протокол о наличии тяги, кратности воздухообмена и количестве удаляемого из помещения воздуха); документов, подтверждающих выполнение технического обслуживания вводных, внутренних газопроводов многоквартирного жилого дома, проходящих по местам общего пользования (коридоры, лестницы и т.д.), внутриквартирных газопроводов до кранов на отпусках к газоиспользующему оборудованию в жилищном фонде в соответствии с утвержденными графиками;</w:t>
      </w:r>
      <w:r w:rsidRPr="006B2989">
        <w:rPr>
          <w:rFonts w:ascii="Times New Roman" w:eastAsia="Times New Roman" w:hAnsi="Times New Roman" w:cs="Times New Roman"/>
          <w:sz w:val="24"/>
          <w:szCs w:val="24"/>
        </w:rPr>
        <w:br/>
        <w:t>документов, подтверждающих выполнения технического обслуживания вводных и внутренних газопроводов и газового оборудования общежитий;</w:t>
      </w:r>
      <w:r w:rsidRPr="006B2989">
        <w:rPr>
          <w:rFonts w:ascii="Times New Roman" w:eastAsia="Times New Roman" w:hAnsi="Times New Roman" w:cs="Times New Roman"/>
          <w:sz w:val="24"/>
          <w:szCs w:val="24"/>
        </w:rPr>
        <w:br/>
        <w:t xml:space="preserve">распорядительного документа о назначении лица, ответственного за безопасную эксплуатацию газового оборудования и газопроводов, с предоставлением подтверждающих документов о прохождении обучения и проверки знаний Правил пользования газом в быту в учреждениях образования, которым предоставлено право осуществлять образовательную деятельность, в случаях эксплуатации газового оборудования в общежитиях, а также в жилых домах, в которых эксплуатируется газоиспользующее оборудование, предназначенное для отопления мест общего пользования. </w:t>
      </w:r>
    </w:p>
    <w:p w:rsidR="006B2989" w:rsidRPr="006B2989" w:rsidRDefault="006B2989" w:rsidP="006B298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6B298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Пример</w:t>
      </w:r>
      <w:proofErr w:type="spellEnd"/>
      <w:r w:rsidRPr="006B298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6B298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заполнения</w:t>
      </w:r>
      <w:proofErr w:type="spellEnd"/>
      <w:r w:rsidRPr="006B298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6B298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акта</w:t>
      </w:r>
      <w:proofErr w:type="spellEnd"/>
      <w:r w:rsidRPr="006B298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6B298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гидравлических</w:t>
      </w:r>
      <w:proofErr w:type="spellEnd"/>
      <w:r w:rsidRPr="006B298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6B298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испытаний</w:t>
      </w:r>
      <w:proofErr w:type="spellEnd"/>
      <w:r w:rsidRPr="006B298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 </w:t>
      </w:r>
      <w:r w:rsidRPr="006B29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6B2989" w:rsidRPr="006B2989" w:rsidRDefault="006B2989" w:rsidP="006B2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29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  </w:t>
      </w:r>
    </w:p>
    <w:p w:rsidR="006B2989" w:rsidRPr="006B2989" w:rsidRDefault="006B2989" w:rsidP="006B29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2989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6829200" cy="4827600"/>
            <wp:effectExtent l="0" t="0" r="0" b="0"/>
            <wp:docPr id="4" name="Рисунок 4" descr="Документ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окумент 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200" cy="48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989" w:rsidRPr="006B2989" w:rsidRDefault="006B2989" w:rsidP="006B29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2989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6825600" cy="4539600"/>
            <wp:effectExtent l="0" t="0" r="0" b="0"/>
            <wp:docPr id="3" name="Рисунок 3" descr="Документ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окумент 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600" cy="45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989" w:rsidRPr="006B2989" w:rsidRDefault="006B2989" w:rsidP="006B298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</w:p>
    <w:p w:rsidR="006B2989" w:rsidRPr="006B2989" w:rsidRDefault="006B2989" w:rsidP="006B2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298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6B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2989" w:rsidRPr="006B2989" w:rsidRDefault="006B2989" w:rsidP="006B29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989">
        <w:rPr>
          <w:rFonts w:ascii="Times New Roman" w:eastAsia="Times New Roman" w:hAnsi="Times New Roman" w:cs="Times New Roman"/>
          <w:sz w:val="24"/>
          <w:szCs w:val="24"/>
        </w:rPr>
        <w:t xml:space="preserve">Условиями готовности электроустановок жилищного фонда является, в том числе, наличие протоколов электрофизических измерений и испытаний электроустановок и электрооборудования. Дополнительно для потребителей тепловой энергии, имеющих </w:t>
      </w:r>
      <w:proofErr w:type="spellStart"/>
      <w:r w:rsidRPr="006B2989">
        <w:rPr>
          <w:rFonts w:ascii="Times New Roman" w:eastAsia="Times New Roman" w:hAnsi="Times New Roman" w:cs="Times New Roman"/>
          <w:sz w:val="24"/>
          <w:szCs w:val="24"/>
        </w:rPr>
        <w:t>электроприемники</w:t>
      </w:r>
      <w:proofErr w:type="spellEnd"/>
      <w:r w:rsidRPr="006B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2989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6B2989">
        <w:rPr>
          <w:rFonts w:ascii="Times New Roman" w:eastAsia="Times New Roman" w:hAnsi="Times New Roman" w:cs="Times New Roman"/>
          <w:sz w:val="24"/>
          <w:szCs w:val="24"/>
        </w:rPr>
        <w:t xml:space="preserve"> категории (в том числе особой группы) по надежности электроснабжения, за исключением объектов потребителей с </w:t>
      </w:r>
      <w:proofErr w:type="spellStart"/>
      <w:r w:rsidRPr="006B2989">
        <w:rPr>
          <w:rFonts w:ascii="Times New Roman" w:eastAsia="Times New Roman" w:hAnsi="Times New Roman" w:cs="Times New Roman"/>
          <w:sz w:val="24"/>
          <w:szCs w:val="24"/>
        </w:rPr>
        <w:t>электроприемниками</w:t>
      </w:r>
      <w:proofErr w:type="spellEnd"/>
      <w:r w:rsidRPr="006B2989">
        <w:rPr>
          <w:rFonts w:ascii="Times New Roman" w:eastAsia="Times New Roman" w:hAnsi="Times New Roman" w:cs="Times New Roman"/>
          <w:sz w:val="24"/>
          <w:szCs w:val="24"/>
        </w:rPr>
        <w:t xml:space="preserve"> указанных категорий, перерыв электроснабжения которых не снижает надежность электроснабжения указанных потребителей – акты проверки работоспособности устройств автоматического ввода резерва и (или) автономных источников электроснабжения по рекомендуемой форме согласно</w:t>
      </w:r>
      <w:r w:rsidRPr="006B298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6B2989">
        <w:rPr>
          <w:rFonts w:ascii="Times New Roman" w:eastAsia="Times New Roman" w:hAnsi="Times New Roman" w:cs="Times New Roman"/>
          <w:sz w:val="24"/>
          <w:szCs w:val="24"/>
        </w:rPr>
        <w:t>приложению 6</w:t>
      </w:r>
      <w:r w:rsidRPr="006B298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hyperlink r:id="rId16" w:history="1">
        <w:r w:rsidRPr="006B29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(скачать рекомендуемую форму акта проверки работоспособности устройств автоматического ввода резерва и (или) автономных источников электроснабжения Приложение 6)</w:t>
        </w:r>
      </w:hyperlink>
      <w:hyperlink r:id="rId17" w:history="1">
        <w:r w:rsidRPr="006B29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</w:hyperlink>
      <w:hyperlink r:id="rId18" w:history="1">
        <w:r w:rsidRPr="006B29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</w:hyperlink>
    </w:p>
    <w:p w:rsidR="006B2989" w:rsidRPr="006B2989" w:rsidRDefault="006B2989" w:rsidP="006B298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B29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Пример заполнения акта проверки работоспособности устройств автоматического ввода резерва </w:t>
      </w:r>
    </w:p>
    <w:tbl>
      <w:tblPr>
        <w:tblW w:w="0" w:type="auto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6"/>
      </w:tblGrid>
      <w:tr w:rsidR="006B2989" w:rsidRPr="006B2989" w:rsidTr="006B2989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6B2989" w:rsidRPr="006B2989" w:rsidRDefault="006B2989" w:rsidP="006B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B29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 </w:t>
            </w:r>
            <w:r w:rsidRPr="006B298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5853600" cy="8776800"/>
                  <wp:effectExtent l="0" t="0" r="0" b="5715"/>
                  <wp:docPr id="2" name="Рисунок 2" descr="Документ 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Документ 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3600" cy="877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29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6B2989" w:rsidRPr="006B2989" w:rsidRDefault="006B2989" w:rsidP="006B2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B2989" w:rsidRPr="006B2989" w:rsidRDefault="006B2989" w:rsidP="006B29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298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6B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2989">
        <w:rPr>
          <w:rFonts w:ascii="Times New Roman" w:eastAsia="Times New Roman" w:hAnsi="Times New Roman" w:cs="Times New Roman"/>
          <w:sz w:val="24"/>
          <w:szCs w:val="24"/>
          <w:lang w:val="en-US"/>
        </w:rPr>
        <w:t>  </w:t>
      </w:r>
      <w:r w:rsidRPr="006B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298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6B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298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6B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298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6B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2989">
        <w:rPr>
          <w:rFonts w:ascii="Times New Roman" w:eastAsia="Times New Roman" w:hAnsi="Times New Roman" w:cs="Times New Roman"/>
          <w:sz w:val="24"/>
          <w:szCs w:val="24"/>
          <w:lang w:val="en-US"/>
        </w:rPr>
        <w:t>  </w:t>
      </w:r>
      <w:r w:rsidRPr="006B2989">
        <w:rPr>
          <w:rFonts w:ascii="Times New Roman" w:eastAsia="Times New Roman" w:hAnsi="Times New Roman" w:cs="Times New Roman"/>
          <w:sz w:val="24"/>
          <w:szCs w:val="24"/>
        </w:rPr>
        <w:t>На основании акта проверки готовности потребителя оформляется паспорт готовности потребителя к работе в осенне-зимний период по форме согласно приложению 8</w:t>
      </w:r>
      <w:r w:rsidRPr="006B298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hyperlink r:id="rId20" w:history="1">
        <w:r w:rsidRPr="006B29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(скачать форму паспорта готовности приложение 8).</w:t>
        </w:r>
      </w:hyperlink>
      <w:r w:rsidRPr="006B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2989" w:rsidRPr="006B2989" w:rsidRDefault="006B2989" w:rsidP="006B29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2989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Пример заполнения паспорта готовности потребителя</w:t>
      </w:r>
      <w:r w:rsidRPr="006B298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 </w:t>
      </w:r>
      <w:r w:rsidRPr="006B2989">
        <w:rPr>
          <w:rFonts w:ascii="Times New Roman" w:eastAsia="Times New Roman" w:hAnsi="Times New Roman" w:cs="Times New Roman"/>
          <w:i/>
          <w:iCs/>
          <w:sz w:val="24"/>
          <w:szCs w:val="24"/>
        </w:rPr>
        <w:t>тепловой энергии</w:t>
      </w:r>
      <w:r w:rsidRPr="006B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1"/>
      </w:tblGrid>
      <w:tr w:rsidR="006B2989" w:rsidRPr="006B2989" w:rsidTr="006B2989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6B2989" w:rsidRPr="006B2989" w:rsidRDefault="006B2989" w:rsidP="006B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B29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B298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6498000" cy="4219200"/>
                  <wp:effectExtent l="0" t="0" r="0" b="0"/>
                  <wp:docPr id="1" name="Рисунок 1" descr="Документ 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Документ 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8000" cy="4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29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6B2989" w:rsidRPr="006B2989" w:rsidRDefault="006B2989" w:rsidP="006B2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B2989" w:rsidRPr="006B2989" w:rsidRDefault="006B2989" w:rsidP="006B29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6B2989" w:rsidRPr="006B2989" w:rsidTr="006B2989">
        <w:trPr>
          <w:tblCellSpacing w:w="7" w:type="dxa"/>
        </w:trPr>
        <w:tc>
          <w:tcPr>
            <w:tcW w:w="0" w:type="auto"/>
            <w:vAlign w:val="center"/>
            <w:hideMark/>
          </w:tcPr>
          <w:p w:rsidR="006B2989" w:rsidRPr="006B2989" w:rsidRDefault="006B2989" w:rsidP="006B2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9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Паспорт готовности потребителя подписывается руководителем организации или уполномоченным им должностным лицом организации, регистрируется в органе госэнергогазнадзора при наличии акта проверки готовности потребителя, подтверждающего готовность организации к работе в осенне-зимний период. </w:t>
            </w:r>
          </w:p>
          <w:p w:rsidR="006B2989" w:rsidRPr="006B2989" w:rsidRDefault="006B2989" w:rsidP="006B2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9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Регистрация паспорта готовности потребителя осуществляется органом госэнергогазнадзора на основании заявления организации в письменной (устной) форме с представлением паспорта готовности потребителя или в электронной форме через единый портал электронных услуг. </w:t>
            </w:r>
          </w:p>
          <w:p w:rsidR="006B2989" w:rsidRPr="006B2989" w:rsidRDefault="006B2989" w:rsidP="006B2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9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о регистрации паспорта готовности потребителя или об отказе в его регистрации (об отказе в осуществлении административной процедуры) принимается в письменной либо электронной форме через единый портал электронных услуг (в случае подачи заявления в электронной форме через единый портал электронных услуг). </w:t>
            </w:r>
          </w:p>
          <w:p w:rsidR="006B2989" w:rsidRPr="006B2989" w:rsidRDefault="006B2989" w:rsidP="006B2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9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Регистрация паспорта готовности потребителя осуществляется на срок до даты завершения осенне-зимнего периода, но не более одиннадцати месяцев. </w:t>
            </w:r>
          </w:p>
          <w:p w:rsidR="006B2989" w:rsidRPr="006B2989" w:rsidRDefault="006B2989" w:rsidP="006B2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9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Паспорт готовности потребителя хранится в организации. </w:t>
            </w:r>
          </w:p>
          <w:p w:rsidR="006B2989" w:rsidRPr="006B2989" w:rsidRDefault="006B2989" w:rsidP="006B2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9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паспорта готовности потребителя или его электронная копия (в случае регистрации паспорта готовности потребителя посредством единого портала электронных услуг) передается организациями, указанными в пункте 33 Правил, в энергоснабжающую организацию (при ее наличии), а по жилищному фонду, не находящемуся на обслуживании организаций, входящих в систему Министерства жилищно-коммунального хозяйства, – представляется в районную </w:t>
            </w:r>
            <w:r w:rsidRPr="006B29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(городскую) организацию, осуществляющую эксплуатацию жилищного фонда и (или) предоставляющую жилищно-коммунальные услуги, подчиненную местным исполнительным и распорядительным органам. </w:t>
            </w:r>
          </w:p>
          <w:p w:rsidR="006B2989" w:rsidRPr="006B2989" w:rsidRDefault="006B2989" w:rsidP="006B2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9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допускаются оформление и регистрация паспорта готовности потребителя после 30 сентября текущего года. </w:t>
            </w:r>
          </w:p>
        </w:tc>
      </w:tr>
    </w:tbl>
    <w:p w:rsidR="00703C48" w:rsidRDefault="00703C48"/>
    <w:sectPr w:rsidR="00703C48" w:rsidSect="006B29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989"/>
    <w:rsid w:val="006B2989"/>
    <w:rsid w:val="0070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CAEC6-8624-4A0B-9119-09492448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4">
    <w:name w:val="Hyperlink"/>
    <w:basedOn w:val="a0"/>
    <w:uiPriority w:val="99"/>
    <w:semiHidden/>
    <w:unhideWhenUsed/>
    <w:rsid w:val="006B29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0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energogaznadzor.by/administrativnye-protsedury/perechen-administrativnykh-protsedur-osushchestvlyaemykh-filialami-gosenergogaznadzora-v-otnoshenii-/3-10-2-vitebskaya-oblast/&#1055;&#1088;&#1080;&#1083;&#1086;&#1078;&#1077;&#1085;&#1080;&#1077;%203.docx" TargetMode="External"/><Relationship Id="rId13" Type="http://schemas.openxmlformats.org/officeDocument/2006/relationships/hyperlink" Target="https://gosenergogaznadzor.by/administrativnye-protsedury/perechen-administrativnykh-protsedur-osushchestvlyaemykh-filialami-gosenergogaznadzora-v-otnoshenii-/&#1054;%20&#1087;&#1086;&#1076;&#1075;&#1086;&#1090;&#1086;&#1074;&#1082;&#1077;%20&#1082;%20&#1054;&#1047;&#1055;/&#1055;&#1088;&#1080;&#1083;&#1086;&#1078;&#1077;&#1085;&#1080;&#1103;%204,5.docx" TargetMode="External"/><Relationship Id="rId18" Type="http://schemas.openxmlformats.org/officeDocument/2006/relationships/hyperlink" Target="https://gosenergogaznadzor.by/administrativnye-protsedury/perechen-administrativnykh-protsedur-osushchestvlyaemykh-filialami-gosenergogaznadzora-v-otnoshenii-/3-10-2-vitebskaya-oblast/&#1055;&#1088;&#1080;&#1083;&#1086;&#1078;&#1077;&#1085;&#1080;&#1077;%206.docx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7.png"/><Relationship Id="rId7" Type="http://schemas.openxmlformats.org/officeDocument/2006/relationships/image" Target="media/image2.png"/><Relationship Id="rId12" Type="http://schemas.openxmlformats.org/officeDocument/2006/relationships/hyperlink" Target="https://gosenergogaznadzor.by/administrativnye-protsedury/perechen-administrativnykh-protsedur-osushchestvlyaemykh-filialami-gosenergogaznadzora-v-otnoshenii-/&#1054;%20&#1087;&#1086;&#1076;&#1075;&#1086;&#1090;&#1086;&#1074;&#1082;&#1077;%20&#1082;%20&#1054;&#1047;&#1055;/&#1055;&#1088;&#1080;&#1083;&#1086;&#1078;&#1077;&#1085;&#1080;&#1103;%204,5.docx" TargetMode="External"/><Relationship Id="rId17" Type="http://schemas.openxmlformats.org/officeDocument/2006/relationships/hyperlink" Target="https://gosenergogaznadzor.by/administrativnye-protsedury/perechen-administrativnykh-protsedur-osushchestvlyaemykh-filialami-gosenergogaznadzora-v-otnoshenii-/3-10-2-vitebskaya-oblast/&#1055;&#1088;&#1080;&#1083;&#1086;&#1078;&#1077;&#1085;&#1080;&#1077;%206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gosenergogaznadzor.by/administrativnye-protsedury/perechen-administrativnykh-protsedur-osushchestvlyaemykh-filialami-gosenergogaznadzora-v-otnoshenii-/3-10-2-vitebskaya-oblast/&#1055;&#1088;&#1080;&#1083;&#1086;&#1078;&#1077;&#1085;&#1080;&#1077;%206.docx" TargetMode="External"/><Relationship Id="rId20" Type="http://schemas.openxmlformats.org/officeDocument/2006/relationships/hyperlink" Target="https://gosenergogaznadzor.by/administrativnye-protsedury/perechen-administrativnykh-protsedur-osushchestvlyaemykh-filialami-gosenergogaznadzora-v-otnoshenii-/3-10-2-vitebskaya-oblast/&#1055;&#1088;&#1080;&#1083;&#1086;&#1078;&#1077;&#1085;&#1080;&#1077;%208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gosenergogaznadzor.by/administrativnye-protsedury/perechen-administrativnykh-protsedur-osushchestvlyaemykh-filialami-gosenergogaznadzora-v-otnoshenii-/3-25-vitebskaya-oblast/Prilog_2%20(%20potreb%20).docx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gosenergogaznadzor.by/administrativnye-protsedury/perechen-administrativnykh-protsedur-osushchestvlyaemykh-filialami-gosenergogaznadzora-v-otnoshenii-/&#1055;&#1088;&#1080;&#1083;&#1086;&#1078;&#1077;&#1085;&#1080;&#1077;%202.docx" TargetMode="Externa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s://gosenergogaznadzor.by/administrativnye-protsedury/perechen-administrativnykh-protsedur-osushchestvlyaemykh-filialami-gosenergogaznadzora-v-otnoshenii-/3-10-2-vitebskaya-oblast/&#1055;&#1088;&#1080;&#1083;&#1086;&#1078;&#1077;&#1085;&#1080;&#1077;%203.docx" TargetMode="External"/><Relationship Id="rId19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hyperlink" Target="https://gosenergogaznadzor.by/administrativnye-protsedury/perechen-administrativnykh-protsedur-osushchestvlyaemykh-filialami-gosenergogaznadzora-v-otnoshenii-/3-10-2-vitebskaya-oblast/&#1055;&#1088;&#1080;&#1083;&#1086;&#1078;&#1077;&#1085;&#1080;&#1077;%203.docx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Рубин</dc:creator>
  <cp:keywords/>
  <dc:description/>
  <cp:lastModifiedBy>Оксана Рубин</cp:lastModifiedBy>
  <cp:revision>1</cp:revision>
  <dcterms:created xsi:type="dcterms:W3CDTF">2026-07-27T07:11:00Z</dcterms:created>
  <dcterms:modified xsi:type="dcterms:W3CDTF">2026-07-27T07:15:00Z</dcterms:modified>
</cp:coreProperties>
</file>