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BD9D8" w14:textId="1BD84C9C" w:rsidR="00A850D7" w:rsidRDefault="009343B3" w:rsidP="00A850D7">
      <w:pPr>
        <w:ind w:firstLine="709"/>
        <w:jc w:val="center"/>
        <w:rPr>
          <w:b/>
          <w:iCs/>
          <w:sz w:val="28"/>
          <w:szCs w:val="28"/>
        </w:rPr>
      </w:pPr>
      <w:r>
        <w:rPr>
          <w:b/>
          <w:iCs/>
          <w:sz w:val="28"/>
          <w:szCs w:val="28"/>
        </w:rPr>
        <w:t>Особенность зачета в стаж периода получения досрочной пенсии</w:t>
      </w:r>
    </w:p>
    <w:p w14:paraId="04110020" w14:textId="77777777" w:rsidR="00A850D7" w:rsidRPr="00596CA3" w:rsidRDefault="00A850D7" w:rsidP="00A850D7">
      <w:pPr>
        <w:ind w:firstLine="709"/>
        <w:jc w:val="center"/>
        <w:rPr>
          <w:b/>
          <w:iCs/>
          <w:sz w:val="28"/>
          <w:szCs w:val="28"/>
        </w:rPr>
      </w:pPr>
    </w:p>
    <w:p w14:paraId="1B3E7823" w14:textId="77777777" w:rsidR="00A850D7" w:rsidRDefault="00A850D7" w:rsidP="00A850D7">
      <w:pPr>
        <w:ind w:firstLine="709"/>
        <w:jc w:val="both"/>
        <w:rPr>
          <w:bCs/>
          <w:sz w:val="30"/>
          <w:szCs w:val="30"/>
        </w:rPr>
      </w:pPr>
      <w:r w:rsidRPr="00596CA3">
        <w:rPr>
          <w:b/>
          <w:sz w:val="30"/>
          <w:szCs w:val="30"/>
        </w:rPr>
        <w:t>Вопрос.</w:t>
      </w:r>
      <w:r>
        <w:rPr>
          <w:bCs/>
          <w:sz w:val="30"/>
          <w:szCs w:val="30"/>
        </w:rPr>
        <w:t xml:space="preserve"> Застрахованное лицо является получателем досрочной профессиональной пенсии в соответствии с Законом Республики Беларусь от 05.01.2008 «О профессиональном пенсионном страховании» № 322-З (далее – Закон № 322-З) и продолжает работать. По достижении общеустановленного пенсионного возраста </w:t>
      </w:r>
      <w:r>
        <w:rPr>
          <w:bCs/>
          <w:sz w:val="30"/>
          <w:szCs w:val="30"/>
        </w:rPr>
        <w:br/>
        <w:t>он обратился за назначением пенсии по возрасту на общих основаниях.</w:t>
      </w:r>
    </w:p>
    <w:p w14:paraId="46938625" w14:textId="77777777" w:rsidR="00A850D7" w:rsidRDefault="00A850D7" w:rsidP="00A850D7">
      <w:pPr>
        <w:ind w:firstLine="709"/>
        <w:jc w:val="both"/>
        <w:rPr>
          <w:bCs/>
          <w:sz w:val="30"/>
          <w:szCs w:val="30"/>
        </w:rPr>
      </w:pPr>
      <w:r>
        <w:rPr>
          <w:bCs/>
          <w:sz w:val="30"/>
          <w:szCs w:val="30"/>
        </w:rPr>
        <w:t xml:space="preserve">Можно ли засчитать в стаж работы для исчисления размера пенсии по возрасту периоды его работы с получением досрочной профессиональной пенсии? </w:t>
      </w:r>
    </w:p>
    <w:p w14:paraId="248E1275" w14:textId="77777777" w:rsidR="00A850D7" w:rsidRDefault="00A850D7" w:rsidP="00A850D7">
      <w:pPr>
        <w:ind w:firstLine="708"/>
        <w:jc w:val="both"/>
        <w:rPr>
          <w:sz w:val="30"/>
          <w:szCs w:val="30"/>
        </w:rPr>
      </w:pPr>
      <w:r>
        <w:rPr>
          <w:b/>
          <w:sz w:val="30"/>
          <w:szCs w:val="30"/>
        </w:rPr>
        <w:t>Ответ.</w:t>
      </w:r>
      <w:r>
        <w:rPr>
          <w:bCs/>
          <w:sz w:val="30"/>
          <w:szCs w:val="30"/>
        </w:rPr>
        <w:t xml:space="preserve"> </w:t>
      </w:r>
      <w:r>
        <w:rPr>
          <w:sz w:val="30"/>
          <w:szCs w:val="30"/>
        </w:rPr>
        <w:t>Досрочные профессиональные пенсии (государственные пенсии)</w:t>
      </w:r>
      <w:bookmarkStart w:id="0" w:name="_Hlk241132670"/>
      <w:r>
        <w:rPr>
          <w:rStyle w:val="ae"/>
          <w:rFonts w:eastAsiaTheme="majorEastAsia"/>
          <w:sz w:val="30"/>
          <w:szCs w:val="30"/>
        </w:rPr>
        <w:footnoteReference w:id="1"/>
      </w:r>
      <w:bookmarkEnd w:id="0"/>
      <w:r>
        <w:rPr>
          <w:sz w:val="30"/>
          <w:szCs w:val="30"/>
          <w:vertAlign w:val="superscript"/>
        </w:rPr>
        <w:t>,</w:t>
      </w:r>
      <w:r>
        <w:rPr>
          <w:rStyle w:val="ae"/>
          <w:rFonts w:eastAsiaTheme="majorEastAsia"/>
          <w:sz w:val="30"/>
          <w:szCs w:val="30"/>
        </w:rPr>
        <w:footnoteReference w:id="2"/>
      </w:r>
      <w:r>
        <w:rPr>
          <w:sz w:val="30"/>
          <w:szCs w:val="30"/>
        </w:rPr>
        <w:t>, назначаемые в соответствии с Законом № 322-З, выплачиваются до достижения общеустановленного пенсионного возраста.</w:t>
      </w:r>
    </w:p>
    <w:p w14:paraId="7966E43F" w14:textId="77777777" w:rsidR="00A850D7" w:rsidRDefault="00A850D7" w:rsidP="00A850D7">
      <w:pPr>
        <w:autoSpaceDE w:val="0"/>
        <w:autoSpaceDN w:val="0"/>
        <w:adjustRightInd w:val="0"/>
        <w:ind w:firstLine="709"/>
        <w:jc w:val="both"/>
        <w:rPr>
          <w:sz w:val="30"/>
          <w:szCs w:val="30"/>
        </w:rPr>
      </w:pPr>
      <w:r>
        <w:rPr>
          <w:sz w:val="30"/>
          <w:szCs w:val="30"/>
        </w:rPr>
        <w:t xml:space="preserve">В соответствии с </w:t>
      </w:r>
      <w:bookmarkStart w:id="2" w:name="_Hlk241137600"/>
      <w:r w:rsidRPr="00845F1B">
        <w:rPr>
          <w:sz w:val="30"/>
          <w:szCs w:val="30"/>
        </w:rPr>
        <w:t>Закон</w:t>
      </w:r>
      <w:r>
        <w:rPr>
          <w:sz w:val="30"/>
          <w:szCs w:val="30"/>
        </w:rPr>
        <w:t>ом</w:t>
      </w:r>
      <w:r w:rsidRPr="00845F1B">
        <w:rPr>
          <w:sz w:val="30"/>
          <w:szCs w:val="30"/>
        </w:rPr>
        <w:t xml:space="preserve"> Республики Беларусь </w:t>
      </w:r>
      <w:r>
        <w:rPr>
          <w:sz w:val="30"/>
          <w:szCs w:val="30"/>
        </w:rPr>
        <w:br/>
      </w:r>
      <w:r w:rsidRPr="00845F1B">
        <w:rPr>
          <w:sz w:val="30"/>
          <w:szCs w:val="30"/>
        </w:rPr>
        <w:t xml:space="preserve">от 17.04.1992 </w:t>
      </w:r>
      <w:r>
        <w:rPr>
          <w:sz w:val="30"/>
          <w:szCs w:val="30"/>
        </w:rPr>
        <w:t>№</w:t>
      </w:r>
      <w:r w:rsidRPr="00845F1B">
        <w:rPr>
          <w:sz w:val="30"/>
          <w:szCs w:val="30"/>
        </w:rPr>
        <w:t xml:space="preserve"> 1596-XII "О пенсионном обеспечении"</w:t>
      </w:r>
      <w:bookmarkEnd w:id="2"/>
      <w:r>
        <w:rPr>
          <w:rStyle w:val="ae"/>
          <w:rFonts w:eastAsiaTheme="majorEastAsia"/>
          <w:sz w:val="30"/>
          <w:szCs w:val="30"/>
        </w:rPr>
        <w:footnoteReference w:id="3"/>
      </w:r>
      <w:r>
        <w:rPr>
          <w:sz w:val="30"/>
          <w:szCs w:val="30"/>
        </w:rPr>
        <w:t xml:space="preserve"> периоды работы, иной деятельности</w:t>
      </w:r>
      <w:r>
        <w:rPr>
          <w:rStyle w:val="ae"/>
          <w:rFonts w:eastAsiaTheme="majorEastAsia"/>
          <w:sz w:val="30"/>
          <w:szCs w:val="30"/>
        </w:rPr>
        <w:footnoteReference w:id="4"/>
      </w:r>
      <w:r>
        <w:rPr>
          <w:sz w:val="30"/>
          <w:szCs w:val="30"/>
        </w:rPr>
        <w:t xml:space="preserve">, имевшие место после назначения пенсии по возрасту или за выслугу лет, засчитываются в стаж работы, если пенсионер не получал государственную пенсию за эти периоды. </w:t>
      </w:r>
    </w:p>
    <w:p w14:paraId="7B4F4B9B" w14:textId="77777777" w:rsidR="00A850D7" w:rsidRDefault="00A850D7" w:rsidP="00A850D7">
      <w:pPr>
        <w:ind w:firstLine="708"/>
        <w:jc w:val="both"/>
        <w:rPr>
          <w:sz w:val="30"/>
          <w:szCs w:val="30"/>
        </w:rPr>
      </w:pPr>
      <w:r>
        <w:rPr>
          <w:sz w:val="30"/>
          <w:szCs w:val="30"/>
        </w:rPr>
        <w:t xml:space="preserve">Досрочные профессиональные пенсии являются государственными досрочными пенсиями, которые отличаются </w:t>
      </w:r>
      <w:r>
        <w:rPr>
          <w:sz w:val="30"/>
          <w:szCs w:val="30"/>
        </w:rPr>
        <w:br/>
        <w:t xml:space="preserve">от досрочных пенсий по возрасту за работу с особыми условиями труда и за выслугу лет порядком исчисления и принципом </w:t>
      </w:r>
      <w:r>
        <w:rPr>
          <w:sz w:val="30"/>
          <w:szCs w:val="30"/>
        </w:rPr>
        <w:br/>
        <w:t>их финансирования.</w:t>
      </w:r>
    </w:p>
    <w:p w14:paraId="2C1469ED" w14:textId="77777777" w:rsidR="00A850D7" w:rsidRDefault="00A850D7" w:rsidP="00A850D7">
      <w:pPr>
        <w:ind w:firstLine="708"/>
        <w:jc w:val="both"/>
        <w:rPr>
          <w:sz w:val="30"/>
          <w:szCs w:val="30"/>
        </w:rPr>
      </w:pPr>
      <w:r>
        <w:rPr>
          <w:sz w:val="30"/>
          <w:szCs w:val="30"/>
        </w:rPr>
        <w:t xml:space="preserve"> С учетом этого, при назначении пенсии по возрасту на общих основаниях периоды работы с получением досрочной профессиональной пенсии не включаются в стаж работы.</w:t>
      </w:r>
    </w:p>
    <w:p w14:paraId="54D1428D" w14:textId="77777777" w:rsidR="001E5B36" w:rsidRDefault="001E5B36" w:rsidP="00A850D7">
      <w:pPr>
        <w:ind w:firstLine="708"/>
        <w:jc w:val="both"/>
        <w:rPr>
          <w:sz w:val="30"/>
          <w:szCs w:val="30"/>
        </w:rPr>
      </w:pPr>
    </w:p>
    <w:p w14:paraId="56F22A00" w14:textId="42F1D036" w:rsidR="001E5B36" w:rsidRDefault="001E5B36" w:rsidP="001E5B36">
      <w:pPr>
        <w:jc w:val="both"/>
        <w:rPr>
          <w:sz w:val="30"/>
          <w:szCs w:val="30"/>
        </w:rPr>
      </w:pPr>
      <w:r>
        <w:rPr>
          <w:sz w:val="30"/>
          <w:szCs w:val="30"/>
        </w:rPr>
        <w:t>Несвижский районный отдел</w:t>
      </w:r>
    </w:p>
    <w:p w14:paraId="00CFDDA2" w14:textId="5EE3459B" w:rsidR="001E5B36" w:rsidRDefault="001E5B36" w:rsidP="001E5B36">
      <w:pPr>
        <w:jc w:val="both"/>
        <w:rPr>
          <w:sz w:val="30"/>
          <w:szCs w:val="30"/>
        </w:rPr>
      </w:pPr>
      <w:r>
        <w:rPr>
          <w:sz w:val="30"/>
          <w:szCs w:val="30"/>
        </w:rPr>
        <w:t>Минского областного управления</w:t>
      </w:r>
    </w:p>
    <w:p w14:paraId="516B3404" w14:textId="1C0DB7DE" w:rsidR="001E5B36" w:rsidRDefault="001E5B36" w:rsidP="001E5B36">
      <w:pPr>
        <w:jc w:val="both"/>
        <w:rPr>
          <w:sz w:val="30"/>
          <w:szCs w:val="30"/>
        </w:rPr>
      </w:pPr>
      <w:r>
        <w:rPr>
          <w:sz w:val="30"/>
          <w:szCs w:val="30"/>
        </w:rPr>
        <w:t>Фонда социальной защиты населения</w:t>
      </w:r>
    </w:p>
    <w:p w14:paraId="2630833D" w14:textId="77777777" w:rsidR="00A850D7" w:rsidRDefault="00A850D7" w:rsidP="00A850D7"/>
    <w:p w14:paraId="02B0B464" w14:textId="77777777" w:rsidR="00980670" w:rsidRDefault="00980670"/>
    <w:sectPr w:rsidR="009806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0ADAB" w14:textId="77777777" w:rsidR="009B064B" w:rsidRDefault="009B064B" w:rsidP="00A850D7">
      <w:r>
        <w:separator/>
      </w:r>
    </w:p>
  </w:endnote>
  <w:endnote w:type="continuationSeparator" w:id="0">
    <w:p w14:paraId="4E15F665" w14:textId="77777777" w:rsidR="009B064B" w:rsidRDefault="009B064B" w:rsidP="00A85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F3EED" w14:textId="77777777" w:rsidR="009B064B" w:rsidRDefault="009B064B" w:rsidP="00A850D7">
      <w:r>
        <w:separator/>
      </w:r>
    </w:p>
  </w:footnote>
  <w:footnote w:type="continuationSeparator" w:id="0">
    <w:p w14:paraId="6ACAE9C2" w14:textId="77777777" w:rsidR="009B064B" w:rsidRDefault="009B064B" w:rsidP="00A850D7">
      <w:r>
        <w:continuationSeparator/>
      </w:r>
    </w:p>
  </w:footnote>
  <w:footnote w:id="1">
    <w:p w14:paraId="2E278258" w14:textId="77777777" w:rsidR="00A850D7" w:rsidRPr="00AD2C07" w:rsidRDefault="00A850D7" w:rsidP="00A850D7">
      <w:pPr>
        <w:pStyle w:val="ad"/>
        <w:ind w:firstLine="0"/>
        <w:jc w:val="left"/>
        <w:rPr>
          <w:rFonts w:ascii="Times New Roman" w:hAnsi="Times New Roman" w:cs="Times New Roman"/>
          <w:sz w:val="18"/>
          <w:szCs w:val="18"/>
        </w:rPr>
      </w:pPr>
      <w:r w:rsidRPr="00AD2C07">
        <w:rPr>
          <w:rStyle w:val="ae"/>
          <w:rFonts w:ascii="Times New Roman" w:hAnsi="Times New Roman" w:cs="Times New Roman"/>
          <w:sz w:val="18"/>
          <w:szCs w:val="18"/>
        </w:rPr>
        <w:footnoteRef/>
      </w:r>
      <w:r w:rsidRPr="00AD2C07">
        <w:rPr>
          <w:rFonts w:ascii="Times New Roman" w:hAnsi="Times New Roman" w:cs="Times New Roman"/>
          <w:sz w:val="18"/>
          <w:szCs w:val="18"/>
        </w:rPr>
        <w:t xml:space="preserve"> Подпункт 1.1 статьи 1 Закона Республики Беларусь «О профессиональном пенсионном страховании»</w:t>
      </w:r>
      <w:r>
        <w:rPr>
          <w:rFonts w:ascii="Times New Roman" w:hAnsi="Times New Roman" w:cs="Times New Roman"/>
          <w:sz w:val="18"/>
          <w:szCs w:val="18"/>
        </w:rPr>
        <w:t xml:space="preserve"> (далее – </w:t>
      </w:r>
      <w:bookmarkStart w:id="1" w:name="_Hlk241137667"/>
      <w:r>
        <w:rPr>
          <w:rFonts w:ascii="Times New Roman" w:hAnsi="Times New Roman" w:cs="Times New Roman"/>
          <w:sz w:val="18"/>
          <w:szCs w:val="18"/>
        </w:rPr>
        <w:t xml:space="preserve">Закон </w:t>
      </w:r>
      <w:r>
        <w:rPr>
          <w:rFonts w:ascii="Times New Roman" w:hAnsi="Times New Roman" w:cs="Times New Roman"/>
          <w:sz w:val="18"/>
          <w:szCs w:val="18"/>
        </w:rPr>
        <w:br/>
        <w:t>№ 322-З</w:t>
      </w:r>
      <w:bookmarkEnd w:id="1"/>
      <w:r>
        <w:rPr>
          <w:rFonts w:ascii="Times New Roman" w:hAnsi="Times New Roman" w:cs="Times New Roman"/>
          <w:sz w:val="18"/>
          <w:szCs w:val="18"/>
        </w:rPr>
        <w:t>)</w:t>
      </w:r>
      <w:r w:rsidRPr="00AD2C07">
        <w:rPr>
          <w:rFonts w:ascii="Times New Roman" w:hAnsi="Times New Roman" w:cs="Times New Roman"/>
          <w:sz w:val="18"/>
          <w:szCs w:val="18"/>
        </w:rPr>
        <w:t>.</w:t>
      </w:r>
    </w:p>
  </w:footnote>
  <w:footnote w:id="2">
    <w:p w14:paraId="3CC032E0" w14:textId="77777777" w:rsidR="00A850D7" w:rsidRPr="00AD2C07" w:rsidRDefault="00A850D7" w:rsidP="00A850D7">
      <w:pPr>
        <w:pStyle w:val="ad"/>
        <w:ind w:firstLine="0"/>
        <w:jc w:val="left"/>
        <w:rPr>
          <w:rFonts w:ascii="Times New Roman" w:hAnsi="Times New Roman" w:cs="Times New Roman"/>
          <w:sz w:val="18"/>
          <w:szCs w:val="18"/>
        </w:rPr>
      </w:pPr>
      <w:r w:rsidRPr="00AD2C07">
        <w:rPr>
          <w:rStyle w:val="ae"/>
          <w:rFonts w:ascii="Times New Roman" w:hAnsi="Times New Roman" w:cs="Times New Roman"/>
          <w:sz w:val="18"/>
          <w:szCs w:val="18"/>
        </w:rPr>
        <w:footnoteRef/>
      </w:r>
      <w:r w:rsidRPr="00AD2C07">
        <w:rPr>
          <w:rFonts w:ascii="Times New Roman" w:hAnsi="Times New Roman" w:cs="Times New Roman"/>
          <w:sz w:val="18"/>
          <w:szCs w:val="18"/>
        </w:rPr>
        <w:t xml:space="preserve"> Статья 12 </w:t>
      </w:r>
      <w:r>
        <w:rPr>
          <w:rFonts w:ascii="Times New Roman" w:hAnsi="Times New Roman" w:cs="Times New Roman"/>
          <w:sz w:val="18"/>
          <w:szCs w:val="18"/>
        </w:rPr>
        <w:t>Закона № 322-З</w:t>
      </w:r>
      <w:r w:rsidRPr="00AD2C07">
        <w:rPr>
          <w:rFonts w:ascii="Times New Roman" w:hAnsi="Times New Roman" w:cs="Times New Roman"/>
          <w:sz w:val="18"/>
          <w:szCs w:val="18"/>
        </w:rPr>
        <w:t>.</w:t>
      </w:r>
    </w:p>
  </w:footnote>
  <w:footnote w:id="3">
    <w:p w14:paraId="346C8B1A" w14:textId="77777777" w:rsidR="00A850D7" w:rsidRPr="00AD2C07" w:rsidRDefault="00A850D7" w:rsidP="00A850D7">
      <w:pPr>
        <w:pStyle w:val="ad"/>
        <w:ind w:firstLine="0"/>
        <w:rPr>
          <w:rFonts w:ascii="Times New Roman" w:hAnsi="Times New Roman" w:cs="Times New Roman"/>
          <w:sz w:val="18"/>
          <w:szCs w:val="18"/>
        </w:rPr>
      </w:pPr>
      <w:r w:rsidRPr="00AD2C07">
        <w:rPr>
          <w:rStyle w:val="ae"/>
          <w:rFonts w:ascii="Times New Roman" w:hAnsi="Times New Roman" w:cs="Times New Roman"/>
          <w:sz w:val="18"/>
          <w:szCs w:val="18"/>
        </w:rPr>
        <w:footnoteRef/>
      </w:r>
      <w:r w:rsidRPr="00AD2C07">
        <w:rPr>
          <w:rFonts w:ascii="Times New Roman" w:hAnsi="Times New Roman" w:cs="Times New Roman"/>
          <w:sz w:val="18"/>
          <w:szCs w:val="18"/>
        </w:rPr>
        <w:t xml:space="preserve"> </w:t>
      </w:r>
      <w:r>
        <w:rPr>
          <w:rFonts w:ascii="Times New Roman" w:hAnsi="Times New Roman" w:cs="Times New Roman"/>
          <w:sz w:val="18"/>
          <w:szCs w:val="18"/>
        </w:rPr>
        <w:t>Часть четвертая с</w:t>
      </w:r>
      <w:r w:rsidRPr="00AD2C07">
        <w:rPr>
          <w:rFonts w:ascii="Times New Roman" w:hAnsi="Times New Roman" w:cs="Times New Roman"/>
          <w:sz w:val="18"/>
          <w:szCs w:val="18"/>
        </w:rPr>
        <w:t>тать</w:t>
      </w:r>
      <w:r>
        <w:rPr>
          <w:rFonts w:ascii="Times New Roman" w:hAnsi="Times New Roman" w:cs="Times New Roman"/>
          <w:sz w:val="18"/>
          <w:szCs w:val="18"/>
        </w:rPr>
        <w:t xml:space="preserve">и </w:t>
      </w:r>
      <w:r w:rsidRPr="00AD2C07">
        <w:rPr>
          <w:rFonts w:ascii="Times New Roman" w:hAnsi="Times New Roman" w:cs="Times New Roman"/>
          <w:sz w:val="18"/>
          <w:szCs w:val="18"/>
        </w:rPr>
        <w:t>51</w:t>
      </w:r>
      <w:r w:rsidRPr="00AD2C07">
        <w:t xml:space="preserve"> </w:t>
      </w:r>
      <w:r w:rsidRPr="00AD2C07">
        <w:rPr>
          <w:rFonts w:ascii="Times New Roman" w:hAnsi="Times New Roman" w:cs="Times New Roman"/>
          <w:sz w:val="18"/>
          <w:szCs w:val="18"/>
        </w:rPr>
        <w:t>Закон</w:t>
      </w:r>
      <w:r>
        <w:rPr>
          <w:rFonts w:ascii="Times New Roman" w:hAnsi="Times New Roman" w:cs="Times New Roman"/>
          <w:sz w:val="18"/>
          <w:szCs w:val="18"/>
        </w:rPr>
        <w:t xml:space="preserve">а </w:t>
      </w:r>
      <w:r w:rsidRPr="00AD2C07">
        <w:rPr>
          <w:rFonts w:ascii="Times New Roman" w:hAnsi="Times New Roman" w:cs="Times New Roman"/>
          <w:sz w:val="18"/>
          <w:szCs w:val="18"/>
        </w:rPr>
        <w:t>Республики Беларусь</w:t>
      </w:r>
      <w:r>
        <w:rPr>
          <w:rFonts w:ascii="Times New Roman" w:hAnsi="Times New Roman" w:cs="Times New Roman"/>
          <w:sz w:val="18"/>
          <w:szCs w:val="18"/>
        </w:rPr>
        <w:t xml:space="preserve"> </w:t>
      </w:r>
      <w:r w:rsidRPr="00AD2C07">
        <w:rPr>
          <w:rFonts w:ascii="Times New Roman" w:hAnsi="Times New Roman" w:cs="Times New Roman"/>
          <w:sz w:val="18"/>
          <w:szCs w:val="18"/>
        </w:rPr>
        <w:t xml:space="preserve">от 17.04.1992 </w:t>
      </w:r>
      <w:bookmarkStart w:id="3" w:name="_Hlk241137719"/>
      <w:r w:rsidRPr="00AD2C07">
        <w:rPr>
          <w:rFonts w:ascii="Times New Roman" w:hAnsi="Times New Roman" w:cs="Times New Roman"/>
          <w:sz w:val="18"/>
          <w:szCs w:val="18"/>
        </w:rPr>
        <w:t>№ 1596-XII</w:t>
      </w:r>
      <w:bookmarkEnd w:id="3"/>
      <w:r w:rsidRPr="00AD2C07">
        <w:rPr>
          <w:rFonts w:ascii="Times New Roman" w:hAnsi="Times New Roman" w:cs="Times New Roman"/>
          <w:sz w:val="18"/>
          <w:szCs w:val="18"/>
        </w:rPr>
        <w:t xml:space="preserve"> "О пенсионном обеспечении"</w:t>
      </w:r>
      <w:r>
        <w:rPr>
          <w:rFonts w:ascii="Times New Roman" w:hAnsi="Times New Roman" w:cs="Times New Roman"/>
          <w:sz w:val="18"/>
          <w:szCs w:val="18"/>
        </w:rPr>
        <w:t xml:space="preserve"> (далее – Закон </w:t>
      </w:r>
      <w:bookmarkStart w:id="4" w:name="_Hlk241137846"/>
      <w:r w:rsidRPr="00AD2C07">
        <w:rPr>
          <w:rFonts w:ascii="Times New Roman" w:hAnsi="Times New Roman" w:cs="Times New Roman"/>
          <w:sz w:val="18"/>
          <w:szCs w:val="18"/>
        </w:rPr>
        <w:t>№ 1596-XII</w:t>
      </w:r>
      <w:bookmarkEnd w:id="4"/>
      <w:r>
        <w:rPr>
          <w:rFonts w:ascii="Times New Roman" w:hAnsi="Times New Roman" w:cs="Times New Roman"/>
          <w:sz w:val="18"/>
          <w:szCs w:val="18"/>
        </w:rPr>
        <w:t>).</w:t>
      </w:r>
    </w:p>
  </w:footnote>
  <w:footnote w:id="4">
    <w:p w14:paraId="4321221D" w14:textId="77777777" w:rsidR="00A850D7" w:rsidRPr="00AD2C07" w:rsidRDefault="00A850D7" w:rsidP="00A850D7">
      <w:pPr>
        <w:pStyle w:val="ad"/>
        <w:ind w:firstLine="0"/>
        <w:rPr>
          <w:rFonts w:ascii="Times New Roman" w:hAnsi="Times New Roman" w:cs="Times New Roman"/>
          <w:sz w:val="18"/>
          <w:szCs w:val="18"/>
        </w:rPr>
      </w:pPr>
      <w:r>
        <w:rPr>
          <w:rStyle w:val="ae"/>
        </w:rPr>
        <w:footnoteRef/>
      </w:r>
      <w:r>
        <w:t xml:space="preserve"> </w:t>
      </w:r>
      <w:r w:rsidRPr="00AD2C07">
        <w:rPr>
          <w:rFonts w:ascii="Times New Roman" w:hAnsi="Times New Roman" w:cs="Times New Roman"/>
          <w:sz w:val="18"/>
          <w:szCs w:val="18"/>
        </w:rPr>
        <w:t>Часть первая и вторая статьи 51 Закона № 1596-XII</w:t>
      </w:r>
      <w:r>
        <w:rPr>
          <w:rFonts w:ascii="Times New Roman" w:hAnsi="Times New Roman" w:cs="Times New Roman"/>
          <w:sz w:val="18"/>
          <w:szCs w:val="18"/>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EB4"/>
    <w:rsid w:val="00046EB4"/>
    <w:rsid w:val="001E5B36"/>
    <w:rsid w:val="002167E7"/>
    <w:rsid w:val="00522CEF"/>
    <w:rsid w:val="00563E06"/>
    <w:rsid w:val="007678A6"/>
    <w:rsid w:val="00865AE3"/>
    <w:rsid w:val="009343B3"/>
    <w:rsid w:val="00980670"/>
    <w:rsid w:val="009B064B"/>
    <w:rsid w:val="00A850D7"/>
    <w:rsid w:val="00AF7969"/>
    <w:rsid w:val="00B142FC"/>
    <w:rsid w:val="00EA3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F2A62"/>
  <w15:chartTrackingRefBased/>
  <w15:docId w15:val="{0F1DACF3-29D2-4D59-9BF4-9EE62C114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50D7"/>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046EB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046EB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046EB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046EB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0"/>
    <w:uiPriority w:val="9"/>
    <w:semiHidden/>
    <w:unhideWhenUsed/>
    <w:qFormat/>
    <w:rsid w:val="00046EB4"/>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0"/>
    <w:uiPriority w:val="9"/>
    <w:semiHidden/>
    <w:unhideWhenUsed/>
    <w:qFormat/>
    <w:rsid w:val="00046EB4"/>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046EB4"/>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046EB4"/>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046EB4"/>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6EB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46EB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46EB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46EB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46EB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46EB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46EB4"/>
    <w:rPr>
      <w:rFonts w:eastAsiaTheme="majorEastAsia" w:cstheme="majorBidi"/>
      <w:color w:val="595959" w:themeColor="text1" w:themeTint="A6"/>
    </w:rPr>
  </w:style>
  <w:style w:type="character" w:customStyle="1" w:styleId="80">
    <w:name w:val="Заголовок 8 Знак"/>
    <w:basedOn w:val="a0"/>
    <w:link w:val="8"/>
    <w:uiPriority w:val="9"/>
    <w:semiHidden/>
    <w:rsid w:val="00046EB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46EB4"/>
    <w:rPr>
      <w:rFonts w:eastAsiaTheme="majorEastAsia" w:cstheme="majorBidi"/>
      <w:color w:val="272727" w:themeColor="text1" w:themeTint="D8"/>
    </w:rPr>
  </w:style>
  <w:style w:type="paragraph" w:styleId="a3">
    <w:name w:val="Title"/>
    <w:basedOn w:val="a"/>
    <w:next w:val="a"/>
    <w:link w:val="a4"/>
    <w:uiPriority w:val="10"/>
    <w:qFormat/>
    <w:rsid w:val="00046EB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046E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6EB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046EB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46EB4"/>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046EB4"/>
    <w:rPr>
      <w:i/>
      <w:iCs/>
      <w:color w:val="404040" w:themeColor="text1" w:themeTint="BF"/>
    </w:rPr>
  </w:style>
  <w:style w:type="paragraph" w:styleId="a7">
    <w:name w:val="List Paragraph"/>
    <w:basedOn w:val="a"/>
    <w:uiPriority w:val="34"/>
    <w:qFormat/>
    <w:rsid w:val="00046EB4"/>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046EB4"/>
    <w:rPr>
      <w:i/>
      <w:iCs/>
      <w:color w:val="0F4761" w:themeColor="accent1" w:themeShade="BF"/>
    </w:rPr>
  </w:style>
  <w:style w:type="paragraph" w:styleId="a9">
    <w:name w:val="Intense Quote"/>
    <w:basedOn w:val="a"/>
    <w:next w:val="a"/>
    <w:link w:val="aa"/>
    <w:uiPriority w:val="30"/>
    <w:qFormat/>
    <w:rsid w:val="00046EB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aa">
    <w:name w:val="Выделенная цитата Знак"/>
    <w:basedOn w:val="a0"/>
    <w:link w:val="a9"/>
    <w:uiPriority w:val="30"/>
    <w:rsid w:val="00046EB4"/>
    <w:rPr>
      <w:i/>
      <w:iCs/>
      <w:color w:val="0F4761" w:themeColor="accent1" w:themeShade="BF"/>
    </w:rPr>
  </w:style>
  <w:style w:type="character" w:styleId="ab">
    <w:name w:val="Intense Reference"/>
    <w:basedOn w:val="a0"/>
    <w:uiPriority w:val="32"/>
    <w:qFormat/>
    <w:rsid w:val="00046EB4"/>
    <w:rPr>
      <w:b/>
      <w:bCs/>
      <w:smallCaps/>
      <w:color w:val="0F4761" w:themeColor="accent1" w:themeShade="BF"/>
      <w:spacing w:val="5"/>
    </w:rPr>
  </w:style>
  <w:style w:type="character" w:customStyle="1" w:styleId="ac">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d"/>
    <w:uiPriority w:val="99"/>
    <w:locked/>
    <w:rsid w:val="00A850D7"/>
  </w:style>
  <w:style w:type="paragraph" w:styleId="ad">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c"/>
    <w:uiPriority w:val="99"/>
    <w:unhideWhenUsed/>
    <w:rsid w:val="00A850D7"/>
    <w:pPr>
      <w:ind w:firstLine="720"/>
      <w:jc w:val="both"/>
    </w:pPr>
    <w:rPr>
      <w:rFonts w:asciiTheme="minorHAnsi" w:eastAsiaTheme="minorHAnsi" w:hAnsiTheme="minorHAnsi" w:cstheme="minorBidi"/>
      <w:kern w:val="2"/>
      <w:lang w:eastAsia="en-US"/>
      <w14:ligatures w14:val="standardContextual"/>
    </w:rPr>
  </w:style>
  <w:style w:type="character" w:customStyle="1" w:styleId="11">
    <w:name w:val="Текст сноски Знак1"/>
    <w:basedOn w:val="a0"/>
    <w:uiPriority w:val="99"/>
    <w:semiHidden/>
    <w:rsid w:val="00A850D7"/>
    <w:rPr>
      <w:rFonts w:ascii="Times New Roman" w:eastAsia="Times New Roman" w:hAnsi="Times New Roman" w:cs="Times New Roman"/>
      <w:kern w:val="0"/>
      <w:sz w:val="20"/>
      <w:szCs w:val="20"/>
      <w:lang w:val="ru-RU" w:eastAsia="ru-RU"/>
      <w14:ligatures w14:val="none"/>
    </w:rPr>
  </w:style>
  <w:style w:type="character" w:styleId="ae">
    <w:name w:val="footnote reference"/>
    <w:uiPriority w:val="99"/>
    <w:semiHidden/>
    <w:unhideWhenUsed/>
    <w:rsid w:val="00A850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231</Words>
  <Characters>1317</Characters>
  <Application>Microsoft Office Word</Application>
  <DocSecurity>0</DocSecurity>
  <Lines>10</Lines>
  <Paragraphs>3</Paragraphs>
  <ScaleCrop>false</ScaleCrop>
  <Company>FSZN</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Муженко Вероника Григорьевна</dc:creator>
  <cp:keywords/>
  <dc:description/>
  <cp:lastModifiedBy>Жерко Алла Гаврииловна</cp:lastModifiedBy>
  <cp:revision>6</cp:revision>
  <cp:lastPrinted>2026-09-24T14:00:00Z</cp:lastPrinted>
  <dcterms:created xsi:type="dcterms:W3CDTF">2026-09-24T07:30:00Z</dcterms:created>
  <dcterms:modified xsi:type="dcterms:W3CDTF">2026-09-25T09:45:00Z</dcterms:modified>
</cp:coreProperties>
</file>